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1"/>
      </w:tblGrid>
      <w:tr>
        <w:tc>
          <w:tcPr>
            <w:tcW w:w="4977" w:type="dxa"/>
            <w:tcBorders>
              <w:top w:val="none" w:sz="4" w:space="0" w:color="000000"/>
              <w:left w:val="none" w:sz="4" w:space="0" w:color="000000"/>
              <w:bottom w:val="none" w:sz="4" w:space="0" w:color="000000"/>
              <w:right w:val="none" w:sz="4" w:space="0" w:color="000000"/>
            </w:tcBorders>
            <w:shd w:val="clear" w:color="auto" w:fill="auto"/>
          </w:tcPr>
          <w:p>
            <w:pPr>
              <w:pStyle w:val="af0"/>
              <w:ind w:firstLine="709"/>
              <w:jc w:val="right"/>
              <w:rPr>
                <w:rFonts w:ascii="Times New Roman" w:hAnsi="Times New Roman"/>
                <w:b/>
                <w:sz w:val="26"/>
                <w:szCs w:val="26"/>
              </w:rPr>
            </w:pPr>
            <w:r>
              <w:rPr>
                <w:rFonts w:ascii="Times New Roman" w:hAnsi="Times New Roman"/>
                <w:sz w:val="26"/>
                <w:szCs w:val="26"/>
              </w:rPr>
              <w:br w:type="page" w:clear="all"/>
            </w:r>
            <w:r>
              <w:rPr>
                <w:rFonts w:ascii="Times New Roman" w:hAnsi="Times New Roman"/>
                <w:sz w:val="26"/>
                <w:szCs w:val="26"/>
              </w:rPr>
              <w:br w:type="page" w:clear="all"/>
            </w:r>
          </w:p>
        </w:tc>
      </w:tr>
    </w:tbl>
    <w:p>
      <w:pPr>
        <w:pStyle w:val="af0"/>
        <w:ind w:firstLine="709"/>
        <w:jc w:val="right"/>
        <w:rPr>
          <w:rFonts w:ascii="Times New Roman" w:hAnsi="Times New Roman"/>
          <w:sz w:val="26"/>
          <w:szCs w:val="26"/>
        </w:rPr>
      </w:pPr>
    </w:p>
    <w:p>
      <w:pPr>
        <w:shd w:val="clear" w:color="auto" w:fill="FFFFFF"/>
        <w:spacing w:after="0" w:line="240" w:lineRule="auto"/>
        <w:jc w:val="center"/>
        <w:rPr>
          <w:rFonts w:ascii="Times New Roman" w:hAnsi="Times New Roman"/>
          <w:sz w:val="26"/>
          <w:szCs w:val="26"/>
        </w:rPr>
      </w:pPr>
      <w:r>
        <w:rPr>
          <w:rFonts w:ascii="Times New Roman" w:hAnsi="Times New Roman"/>
          <w:sz w:val="26"/>
          <w:szCs w:val="26"/>
        </w:rPr>
        <w:t xml:space="preserve">Сводный отчет о проведении оценки регулирующего воздействия проекта </w:t>
      </w:r>
    </w:p>
    <w:p>
      <w:pPr>
        <w:shd w:val="clear" w:color="auto" w:fill="FFFFFF"/>
        <w:spacing w:after="0" w:line="240" w:lineRule="auto"/>
        <w:jc w:val="center"/>
        <w:rPr>
          <w:rFonts w:ascii="Times New Roman" w:hAnsi="Times New Roman"/>
          <w:sz w:val="26"/>
          <w:szCs w:val="26"/>
        </w:rPr>
      </w:pPr>
      <w:r>
        <w:rPr>
          <w:rFonts w:ascii="Times New Roman" w:hAnsi="Times New Roman"/>
          <w:sz w:val="26"/>
          <w:szCs w:val="26"/>
        </w:rPr>
        <w:t xml:space="preserve">нормативного правового акта Республики Хакасия, затрагивающего вопросы осуществления предпринимательской и иной экономической деятельности </w:t>
      </w:r>
    </w:p>
    <w:tbl>
      <w:tblPr>
        <w:tblW w:w="9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130"/>
        <w:gridCol w:w="6"/>
        <w:gridCol w:w="10"/>
        <w:gridCol w:w="1717"/>
        <w:gridCol w:w="546"/>
        <w:gridCol w:w="158"/>
        <w:gridCol w:w="53"/>
        <w:gridCol w:w="69"/>
        <w:gridCol w:w="22"/>
        <w:gridCol w:w="374"/>
        <w:gridCol w:w="1179"/>
        <w:gridCol w:w="105"/>
        <w:gridCol w:w="18"/>
        <w:gridCol w:w="20"/>
        <w:gridCol w:w="190"/>
        <w:gridCol w:w="98"/>
        <w:gridCol w:w="938"/>
        <w:gridCol w:w="30"/>
        <w:gridCol w:w="247"/>
        <w:gridCol w:w="175"/>
        <w:gridCol w:w="94"/>
        <w:gridCol w:w="51"/>
        <w:gridCol w:w="166"/>
        <w:gridCol w:w="552"/>
        <w:gridCol w:w="1007"/>
        <w:gridCol w:w="1280"/>
      </w:tblGrid>
      <w:tr>
        <w:trPr>
          <w:trHeight w:val="332"/>
        </w:trPr>
        <w:tc>
          <w:tcPr>
            <w:tcW w:w="658" w:type="dxa"/>
            <w:tcBorders>
              <w:top w:val="none" w:sz="4" w:space="0" w:color="000000"/>
              <w:left w:val="none" w:sz="4" w:space="0" w:color="000000"/>
              <w:bottom w:val="none" w:sz="4" w:space="0" w:color="000000"/>
              <w:right w:val="none" w:sz="4" w:space="0" w:color="000000"/>
            </w:tcBorders>
            <w:shd w:val="clear" w:color="auto" w:fill="auto"/>
          </w:tcPr>
          <w:p>
            <w:pPr>
              <w:spacing w:line="240" w:lineRule="auto"/>
              <w:jc w:val="center"/>
              <w:rPr>
                <w:rFonts w:ascii="Times New Roman" w:hAnsi="Times New Roman"/>
                <w:sz w:val="24"/>
                <w:szCs w:val="24"/>
              </w:rPr>
            </w:pPr>
          </w:p>
        </w:tc>
        <w:tc>
          <w:tcPr>
            <w:tcW w:w="9235" w:type="dxa"/>
            <w:gridSpan w:val="26"/>
            <w:tcBorders>
              <w:top w:val="none" w:sz="4" w:space="0" w:color="000000"/>
              <w:left w:val="none" w:sz="4" w:space="0" w:color="000000"/>
              <w:bottom w:val="single" w:sz="4" w:space="0" w:color="000000"/>
              <w:right w:val="none" w:sz="4" w:space="0" w:color="000000"/>
            </w:tcBorders>
            <w:shd w:val="clear" w:color="auto" w:fill="auto"/>
          </w:tcPr>
          <w:p>
            <w:pPr>
              <w:spacing w:after="0" w:line="240" w:lineRule="auto"/>
              <w:jc w:val="center"/>
              <w:rPr>
                <w:rFonts w:ascii="Times New Roman" w:hAnsi="Times New Roman"/>
                <w:sz w:val="24"/>
                <w:szCs w:val="24"/>
              </w:rPr>
            </w:pPr>
          </w:p>
          <w:p>
            <w:pPr>
              <w:spacing w:after="0" w:line="240" w:lineRule="auto"/>
              <w:jc w:val="center"/>
              <w:rPr>
                <w:rFonts w:ascii="Times New Roman" w:hAnsi="Times New Roman"/>
                <w:sz w:val="24"/>
                <w:szCs w:val="24"/>
              </w:rPr>
            </w:pPr>
            <w:r>
              <w:rPr>
                <w:rFonts w:ascii="Times New Roman" w:hAnsi="Times New Roman"/>
                <w:sz w:val="24"/>
                <w:szCs w:val="24"/>
              </w:rPr>
              <w:t>Государственный комитет по гражданской обороне, чрезвычайным ситуациям и пожарной безопасности Республики Хакасия</w:t>
            </w:r>
          </w:p>
        </w:tc>
      </w:tr>
      <w:tr>
        <w:trPr>
          <w:trHeight w:val="496"/>
        </w:trPr>
        <w:tc>
          <w:tcPr>
            <w:tcW w:w="658" w:type="dxa"/>
            <w:tcBorders>
              <w:top w:val="none" w:sz="4" w:space="0" w:color="000000"/>
              <w:left w:val="none" w:sz="4" w:space="0" w:color="000000"/>
              <w:bottom w:val="none" w:sz="4" w:space="0" w:color="000000"/>
              <w:right w:val="none" w:sz="4" w:space="0" w:color="000000"/>
            </w:tcBorders>
            <w:shd w:val="clear" w:color="auto" w:fill="auto"/>
          </w:tcPr>
          <w:p>
            <w:pPr>
              <w:spacing w:line="240" w:lineRule="auto"/>
              <w:rPr>
                <w:rFonts w:ascii="Times New Roman" w:hAnsi="Times New Roman"/>
                <w:sz w:val="24"/>
                <w:szCs w:val="24"/>
              </w:rPr>
            </w:pPr>
          </w:p>
        </w:tc>
        <w:tc>
          <w:tcPr>
            <w:tcW w:w="9235" w:type="dxa"/>
            <w:gridSpan w:val="26"/>
            <w:tcBorders>
              <w:left w:val="none" w:sz="4" w:space="0" w:color="000000"/>
              <w:bottom w:val="none" w:sz="4" w:space="0" w:color="000000"/>
              <w:right w:val="none" w:sz="4" w:space="0" w:color="000000"/>
            </w:tcBorders>
            <w:shd w:val="clear" w:color="auto" w:fill="auto"/>
          </w:tcPr>
          <w:p>
            <w:pPr>
              <w:spacing w:after="0" w:line="240" w:lineRule="auto"/>
              <w:jc w:val="center"/>
              <w:rPr>
                <w:rFonts w:ascii="Times New Roman" w:hAnsi="Times New Roman"/>
                <w:i/>
                <w:iCs/>
                <w:sz w:val="24"/>
                <w:szCs w:val="24"/>
              </w:rPr>
            </w:pPr>
            <w:r>
              <w:rPr>
                <w:rFonts w:ascii="Times New Roman" w:hAnsi="Times New Roman"/>
                <w:i/>
                <w:iCs/>
                <w:sz w:val="20"/>
                <w:szCs w:val="24"/>
              </w:rPr>
              <w:t>(наименование регулирующего органа)</w:t>
            </w:r>
          </w:p>
        </w:tc>
      </w:tr>
      <w:tr>
        <w:trPr>
          <w:trHeight w:val="362"/>
        </w:trPr>
        <w:tc>
          <w:tcPr>
            <w:tcW w:w="658" w:type="dxa"/>
            <w:tcBorders>
              <w:top w:val="none" w:sz="4" w:space="0" w:color="000000"/>
              <w:left w:val="none" w:sz="4" w:space="0" w:color="000000"/>
              <w:bottom w:val="single" w:sz="4" w:space="0" w:color="auto"/>
              <w:right w:val="none" w:sz="4" w:space="0" w:color="000000"/>
            </w:tcBorders>
            <w:shd w:val="clear" w:color="auto" w:fill="auto"/>
          </w:tcPr>
          <w:p>
            <w:pPr>
              <w:spacing w:line="240" w:lineRule="auto"/>
              <w:jc w:val="center"/>
              <w:rPr>
                <w:rFonts w:ascii="Times New Roman" w:hAnsi="Times New Roman"/>
                <w:sz w:val="24"/>
                <w:szCs w:val="24"/>
              </w:rPr>
            </w:pPr>
          </w:p>
        </w:tc>
        <w:tc>
          <w:tcPr>
            <w:tcW w:w="9235" w:type="dxa"/>
            <w:gridSpan w:val="26"/>
            <w:tcBorders>
              <w:top w:val="none" w:sz="4" w:space="0" w:color="000000"/>
              <w:left w:val="none" w:sz="4" w:space="0" w:color="000000"/>
              <w:bottom w:val="single" w:sz="4" w:space="0" w:color="auto"/>
              <w:right w:val="none" w:sz="4" w:space="0" w:color="000000"/>
            </w:tcBorders>
            <w:shd w:val="clear" w:color="auto" w:fill="auto"/>
          </w:tcPr>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Общая информация</w:t>
            </w:r>
          </w:p>
          <w:p>
            <w:pPr>
              <w:spacing w:after="0" w:line="240" w:lineRule="auto"/>
              <w:ind w:left="360"/>
              <w:rPr>
                <w:rFonts w:ascii="Times New Roman" w:hAnsi="Times New Roman"/>
                <w:sz w:val="24"/>
                <w:szCs w:val="24"/>
              </w:rPr>
            </w:pPr>
          </w:p>
        </w:tc>
      </w:tr>
      <w:tr>
        <w:trPr>
          <w:trHeight w:val="370"/>
        </w:trPr>
        <w:tc>
          <w:tcPr>
            <w:tcW w:w="658" w:type="dxa"/>
            <w:tcBorders>
              <w:top w:val="single" w:sz="4" w:space="0" w:color="auto"/>
            </w:tcBorders>
            <w:shd w:val="clear" w:color="auto" w:fill="auto"/>
          </w:tcPr>
          <w:p>
            <w:pPr>
              <w:spacing w:line="240" w:lineRule="auto"/>
              <w:jc w:val="center"/>
              <w:rPr>
                <w:rFonts w:ascii="Times New Roman" w:hAnsi="Times New Roman"/>
                <w:sz w:val="24"/>
                <w:szCs w:val="24"/>
              </w:rPr>
            </w:pPr>
            <w:r>
              <w:rPr>
                <w:rFonts w:ascii="Times New Roman" w:hAnsi="Times New Roman"/>
                <w:sz w:val="24"/>
                <w:szCs w:val="24"/>
              </w:rPr>
              <w:t>1.1.</w:t>
            </w:r>
          </w:p>
        </w:tc>
        <w:tc>
          <w:tcPr>
            <w:tcW w:w="9235" w:type="dxa"/>
            <w:gridSpan w:val="26"/>
            <w:tcBorders>
              <w:top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Вид и наименование проекта нормативного акта:</w:t>
            </w:r>
          </w:p>
          <w:p>
            <w:pPr>
              <w:spacing w:after="0" w:line="240" w:lineRule="auto"/>
              <w:jc w:val="both"/>
              <w:rPr>
                <w:rFonts w:ascii="Times New Roman" w:hAnsi="Times New Roman"/>
                <w:sz w:val="24"/>
                <w:szCs w:val="24"/>
              </w:rPr>
            </w:pPr>
            <w:r>
              <w:rPr>
                <w:rFonts w:ascii="Times New Roman" w:hAnsi="Times New Roman"/>
                <w:sz w:val="24"/>
                <w:szCs w:val="24"/>
              </w:rPr>
              <w:t>проект постановления Правительства Республики Хакасия «</w:t>
            </w:r>
            <w:r>
              <w:rPr>
                <w:rFonts w:ascii="Times New Roman" w:hAnsi="Times New Roman"/>
                <w:sz w:val="24"/>
                <w:szCs w:val="24"/>
                <w:lang w:eastAsia="zh-CN"/>
              </w:rPr>
              <w:t>Об утверждении Правил пользования маломерными судами на водных объектах на территории Республики Хакасия и признании утратившими силу некоторых постановлений Правительства Республики Хакасия и отдельных положений постановлений Правительства Республики Хакасия</w:t>
            </w:r>
            <w:r>
              <w:rPr>
                <w:rFonts w:ascii="Times New Roman" w:hAnsi="Times New Roman"/>
                <w:sz w:val="24"/>
                <w:szCs w:val="24"/>
              </w:rPr>
              <w:t>».</w:t>
            </w:r>
          </w:p>
        </w:tc>
      </w:tr>
      <w:tr>
        <w:trPr>
          <w:trHeight w:val="701"/>
        </w:trPr>
        <w:tc>
          <w:tcPr>
            <w:tcW w:w="658" w:type="dxa"/>
            <w:vMerge w:val="restart"/>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1.2.</w:t>
            </w:r>
          </w:p>
        </w:tc>
        <w:tc>
          <w:tcPr>
            <w:tcW w:w="5663" w:type="dxa"/>
            <w:gridSpan w:val="18"/>
            <w:tcBorders>
              <w:bottom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Номер регистрационной карточки проекта документа (РКПД), автоматически присвоенный в системе автоматизации делопроизводства и документооборота «Дело» (при наличии):</w:t>
            </w:r>
          </w:p>
        </w:tc>
        <w:tc>
          <w:tcPr>
            <w:tcW w:w="3572" w:type="dxa"/>
            <w:gridSpan w:val="8"/>
            <w:tcBorders>
              <w:left w:val="single" w:sz="4" w:space="0" w:color="auto"/>
              <w:bottom w:val="single" w:sz="4" w:space="0" w:color="auto"/>
            </w:tcBorders>
            <w:shd w:val="clear" w:color="auto" w:fill="auto"/>
            <w:vAlign w:val="center"/>
          </w:tcPr>
          <w:p>
            <w:pPr>
              <w:spacing w:after="0" w:line="240" w:lineRule="auto"/>
              <w:jc w:val="center"/>
              <w:rPr>
                <w:rFonts w:ascii="Times New Roman" w:hAnsi="Times New Roman"/>
                <w:sz w:val="24"/>
                <w:szCs w:val="24"/>
              </w:rPr>
            </w:pPr>
            <w:r>
              <w:rPr>
                <w:rFonts w:ascii="Times New Roman" w:hAnsi="Times New Roman"/>
                <w:sz w:val="24"/>
                <w:szCs w:val="24"/>
              </w:rPr>
              <w:t xml:space="preserve">РКПД № 643 </w:t>
            </w:r>
          </w:p>
        </w:tc>
      </w:tr>
      <w:tr>
        <w:trPr>
          <w:trHeight w:val="1904"/>
        </w:trPr>
        <w:tc>
          <w:tcPr>
            <w:tcW w:w="658" w:type="dxa"/>
            <w:vMerge/>
            <w:shd w:val="clear" w:color="auto" w:fill="auto"/>
          </w:tcPr>
          <w:p>
            <w:pPr>
              <w:spacing w:after="0" w:line="240" w:lineRule="auto"/>
              <w:jc w:val="center"/>
              <w:rPr>
                <w:rFonts w:ascii="Times New Roman" w:hAnsi="Times New Roman"/>
                <w:sz w:val="24"/>
                <w:szCs w:val="24"/>
              </w:rPr>
            </w:pPr>
          </w:p>
        </w:tc>
        <w:tc>
          <w:tcPr>
            <w:tcW w:w="5663" w:type="dxa"/>
            <w:gridSpan w:val="18"/>
            <w:tcBorders>
              <w:top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Дата согласования без замечаний проекта нормативного правового акта в соответствии с пунктом 3.2 Порядка оценки регулирующего воздействия проектов нормативных правовых актов Республики Хакасия, затрагивающих вопросы осуществления предпринимательской и иной экономической деятельности, утвержденного постановлением Правительства Республики Хакасия от 02.12.2013 № 671</w:t>
            </w:r>
          </w:p>
        </w:tc>
        <w:tc>
          <w:tcPr>
            <w:tcW w:w="3572" w:type="dxa"/>
            <w:gridSpan w:val="8"/>
            <w:tcBorders>
              <w:top w:val="single" w:sz="4" w:space="0" w:color="auto"/>
              <w:left w:val="single" w:sz="4" w:space="0" w:color="auto"/>
              <w:bottom w:val="single" w:sz="4" w:space="0" w:color="auto"/>
            </w:tcBorders>
            <w:shd w:val="clear" w:color="auto" w:fill="auto"/>
            <w:vAlign w:val="center"/>
          </w:tcPr>
          <w:p>
            <w:pPr>
              <w:spacing w:after="0" w:line="240" w:lineRule="auto"/>
              <w:jc w:val="center"/>
              <w:rPr>
                <w:rFonts w:ascii="Times New Roman" w:hAnsi="Times New Roman"/>
                <w:sz w:val="24"/>
                <w:szCs w:val="24"/>
              </w:rPr>
            </w:pPr>
            <w:r>
              <w:rPr>
                <w:rFonts w:ascii="Times New Roman" w:hAnsi="Times New Roman"/>
                <w:sz w:val="24"/>
                <w:szCs w:val="24"/>
              </w:rPr>
              <w:t>26.06.2026</w:t>
            </w:r>
          </w:p>
        </w:tc>
      </w:tr>
      <w:tr>
        <w:trPr>
          <w:trHeight w:val="617"/>
        </w:trPr>
        <w:tc>
          <w:tcPr>
            <w:tcW w:w="658" w:type="dxa"/>
            <w:vMerge/>
            <w:shd w:val="clear" w:color="auto" w:fill="auto"/>
          </w:tcPr>
          <w:p>
            <w:pPr>
              <w:spacing w:line="240" w:lineRule="auto"/>
              <w:jc w:val="center"/>
              <w:rPr>
                <w:rFonts w:ascii="Times New Roman" w:hAnsi="Times New Roman"/>
                <w:sz w:val="24"/>
                <w:szCs w:val="24"/>
              </w:rPr>
            </w:pPr>
          </w:p>
        </w:tc>
        <w:tc>
          <w:tcPr>
            <w:tcW w:w="5663" w:type="dxa"/>
            <w:gridSpan w:val="18"/>
            <w:tcBorders>
              <w:top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Сведения о проведении публичных консультаций по уведомлению о разработке проекта нормативного акта:</w:t>
            </w:r>
          </w:p>
        </w:tc>
        <w:tc>
          <w:tcPr>
            <w:tcW w:w="3572" w:type="dxa"/>
            <w:gridSpan w:val="8"/>
            <w:tcBorders>
              <w:top w:val="single" w:sz="4" w:space="0" w:color="auto"/>
              <w:left w:val="single" w:sz="4" w:space="0" w:color="auto"/>
            </w:tcBorders>
            <w:shd w:val="clear" w:color="auto" w:fill="auto"/>
            <w:vAlign w:val="center"/>
          </w:tcPr>
          <w:p>
            <w:pPr>
              <w:spacing w:after="0" w:line="240" w:lineRule="auto"/>
              <w:jc w:val="center"/>
              <w:rPr>
                <w:rFonts w:ascii="Times New Roman" w:hAnsi="Times New Roman"/>
                <w:sz w:val="24"/>
                <w:szCs w:val="24"/>
              </w:rPr>
            </w:pPr>
            <w:r>
              <w:rPr>
                <w:rFonts w:ascii="Times New Roman" w:hAnsi="Times New Roman"/>
                <w:sz w:val="24"/>
                <w:szCs w:val="24"/>
              </w:rPr>
              <w:t xml:space="preserve">проводились </w:t>
            </w:r>
            <w:r>
              <w:rPr>
                <w:rFonts w:ascii="Times New Roman" w:hAnsi="Times New Roman"/>
                <w:sz w:val="24"/>
                <w:szCs w:val="24"/>
                <w:u w:val="single"/>
              </w:rPr>
              <w:t>/ не проводились</w:t>
            </w:r>
          </w:p>
          <w:p>
            <w:pPr>
              <w:spacing w:after="0" w:line="240" w:lineRule="auto"/>
              <w:jc w:val="center"/>
              <w:rPr>
                <w:rFonts w:ascii="Times New Roman" w:hAnsi="Times New Roman"/>
                <w:sz w:val="24"/>
                <w:szCs w:val="24"/>
              </w:rPr>
            </w:pPr>
            <w:r>
              <w:rPr>
                <w:rFonts w:ascii="Times New Roman" w:hAnsi="Times New Roman"/>
                <w:sz w:val="20"/>
                <w:szCs w:val="24"/>
              </w:rPr>
              <w:t>(нужное подчеркнуть)</w:t>
            </w:r>
          </w:p>
        </w:tc>
      </w:tr>
      <w:tr>
        <w:tc>
          <w:tcPr>
            <w:tcW w:w="658" w:type="dxa"/>
            <w:shd w:val="clear" w:color="auto" w:fill="auto"/>
          </w:tcPr>
          <w:p>
            <w:pPr>
              <w:spacing w:line="240" w:lineRule="auto"/>
              <w:jc w:val="center"/>
              <w:rPr>
                <w:rFonts w:ascii="Times New Roman" w:hAnsi="Times New Roman"/>
                <w:sz w:val="24"/>
                <w:szCs w:val="24"/>
              </w:rPr>
            </w:pPr>
            <w:r>
              <w:rPr>
                <w:rFonts w:ascii="Times New Roman" w:hAnsi="Times New Roman"/>
                <w:sz w:val="24"/>
                <w:szCs w:val="24"/>
              </w:rPr>
              <w:t>1.3.</w:t>
            </w:r>
          </w:p>
        </w:tc>
        <w:tc>
          <w:tcPr>
            <w:tcW w:w="9235" w:type="dxa"/>
            <w:gridSpan w:val="26"/>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Сведения о размещении уведомления о проведении публичных консультаций по проекту нормативного акта и сводному отчету, в том числе повторно, сроках предоставления предложений в связи с таким размещением и иных формах общественных обсуждений:</w:t>
            </w:r>
          </w:p>
          <w:p>
            <w:pPr>
              <w:spacing w:after="0" w:line="240" w:lineRule="auto"/>
              <w:rPr>
                <w:rFonts w:ascii="Times New Roman" w:hAnsi="Times New Roman"/>
                <w:b/>
                <w:bCs/>
                <w:sz w:val="24"/>
                <w:szCs w:val="24"/>
              </w:rPr>
            </w:pPr>
            <w:r>
              <w:rPr>
                <w:rFonts w:ascii="Times New Roman" w:hAnsi="Times New Roman"/>
                <w:b/>
                <w:bCs/>
                <w:sz w:val="24"/>
                <w:szCs w:val="24"/>
              </w:rPr>
              <w:t>уведомление размещено: «07» июля 2026 г;</w:t>
            </w:r>
          </w:p>
          <w:p>
            <w:pPr>
              <w:spacing w:after="0" w:line="240" w:lineRule="auto"/>
              <w:rPr>
                <w:rFonts w:ascii="Times New Roman" w:hAnsi="Times New Roman"/>
                <w:b/>
                <w:bCs/>
                <w:sz w:val="24"/>
                <w:szCs w:val="24"/>
              </w:rPr>
            </w:pPr>
            <w:r>
              <w:rPr>
                <w:rFonts w:ascii="Times New Roman" w:hAnsi="Times New Roman"/>
                <w:b/>
                <w:bCs/>
                <w:sz w:val="24"/>
                <w:szCs w:val="24"/>
              </w:rPr>
              <w:t>начало публичных консультаций: «08» июля 2026 г;</w:t>
            </w:r>
          </w:p>
          <w:p>
            <w:pPr>
              <w:spacing w:after="0" w:line="240" w:lineRule="auto"/>
              <w:rPr>
                <w:rFonts w:ascii="Times New Roman" w:hAnsi="Times New Roman"/>
                <w:b/>
                <w:bCs/>
                <w:sz w:val="24"/>
                <w:szCs w:val="24"/>
              </w:rPr>
            </w:pPr>
            <w:r>
              <w:rPr>
                <w:rFonts w:ascii="Times New Roman" w:hAnsi="Times New Roman"/>
                <w:b/>
                <w:bCs/>
                <w:sz w:val="24"/>
                <w:szCs w:val="24"/>
              </w:rPr>
              <w:t>окончание публичных консультаций: «04» августа 2026 г;</w:t>
            </w:r>
          </w:p>
        </w:tc>
      </w:tr>
      <w:tr>
        <w:tc>
          <w:tcPr>
            <w:tcW w:w="658" w:type="dxa"/>
            <w:shd w:val="clear" w:color="auto" w:fill="auto"/>
          </w:tcPr>
          <w:p>
            <w:pPr>
              <w:spacing w:line="240" w:lineRule="auto"/>
              <w:jc w:val="center"/>
              <w:rPr>
                <w:rFonts w:ascii="Times New Roman" w:hAnsi="Times New Roman"/>
                <w:sz w:val="24"/>
                <w:szCs w:val="24"/>
              </w:rPr>
            </w:pPr>
            <w:r>
              <w:rPr>
                <w:rFonts w:ascii="Times New Roman" w:hAnsi="Times New Roman"/>
                <w:sz w:val="24"/>
                <w:szCs w:val="24"/>
              </w:rPr>
              <w:t>1.4.</w:t>
            </w:r>
          </w:p>
        </w:tc>
        <w:tc>
          <w:tcPr>
            <w:tcW w:w="9235" w:type="dxa"/>
            <w:gridSpan w:val="26"/>
            <w:shd w:val="clear" w:color="auto" w:fill="auto"/>
          </w:tcPr>
          <w:p>
            <w:pPr>
              <w:spacing w:after="0" w:line="240" w:lineRule="auto"/>
              <w:rPr>
                <w:rFonts w:ascii="Times New Roman" w:hAnsi="Times New Roman"/>
                <w:sz w:val="24"/>
                <w:szCs w:val="24"/>
              </w:rPr>
            </w:pPr>
            <w:r>
              <w:rPr>
                <w:rFonts w:ascii="Times New Roman" w:hAnsi="Times New Roman"/>
                <w:sz w:val="24"/>
                <w:szCs w:val="24"/>
              </w:rPr>
              <w:t>Сведения о лицах, извещённых о проведении публичных консультаций (с указанием способа и даты направления Извещения, при электронной форме направления Извещения также указываются электронные адреса, на которые оно направлено):</w:t>
            </w:r>
          </w:p>
          <w:p>
            <w:pPr>
              <w:spacing w:after="0" w:line="240" w:lineRule="auto"/>
              <w:jc w:val="both"/>
              <w:rPr>
                <w:rFonts w:ascii="Times New Roman" w:hAnsi="Times New Roman"/>
                <w:sz w:val="24"/>
                <w:szCs w:val="24"/>
              </w:rPr>
            </w:pPr>
            <w:r>
              <w:rPr>
                <w:rFonts w:ascii="Times New Roman" w:hAnsi="Times New Roman"/>
                <w:sz w:val="24"/>
                <w:szCs w:val="24"/>
              </w:rPr>
              <w:t xml:space="preserve">1.Уполномоченному по защите прав предпринимателей в Республике Хакасия           </w:t>
            </w:r>
          </w:p>
          <w:p>
            <w:pPr>
              <w:spacing w:after="0" w:line="240" w:lineRule="auto"/>
              <w:jc w:val="both"/>
              <w:rPr>
                <w:rFonts w:ascii="Times New Roman" w:hAnsi="Times New Roman"/>
                <w:sz w:val="24"/>
                <w:szCs w:val="24"/>
              </w:rPr>
            </w:pPr>
            <w:proofErr w:type="spellStart"/>
            <w:r>
              <w:rPr>
                <w:rFonts w:ascii="Times New Roman" w:hAnsi="Times New Roman"/>
                <w:sz w:val="24"/>
                <w:szCs w:val="24"/>
              </w:rPr>
              <w:t>Кудашкину</w:t>
            </w:r>
            <w:proofErr w:type="spellEnd"/>
            <w:r>
              <w:rPr>
                <w:rFonts w:ascii="Times New Roman" w:hAnsi="Times New Roman"/>
                <w:sz w:val="24"/>
                <w:szCs w:val="24"/>
              </w:rPr>
              <w:t xml:space="preserve"> В.В.  </w:t>
            </w:r>
          </w:p>
          <w:p>
            <w:pPr>
              <w:spacing w:after="0" w:line="240" w:lineRule="auto"/>
              <w:jc w:val="both"/>
              <w:rPr>
                <w:rFonts w:ascii="Times New Roman" w:hAnsi="Times New Roman"/>
                <w:sz w:val="24"/>
                <w:szCs w:val="24"/>
              </w:rPr>
            </w:pPr>
            <w:r>
              <w:rPr>
                <w:rFonts w:ascii="Times New Roman" w:hAnsi="Times New Roman"/>
                <w:sz w:val="24"/>
                <w:szCs w:val="24"/>
              </w:rPr>
              <w:t xml:space="preserve">Электронный </w:t>
            </w:r>
            <w:proofErr w:type="gramStart"/>
            <w:r>
              <w:rPr>
                <w:rFonts w:ascii="Times New Roman" w:hAnsi="Times New Roman"/>
                <w:sz w:val="24"/>
                <w:szCs w:val="24"/>
              </w:rPr>
              <w:t>адрес:  khakasia@ombudsmanbiz.ru</w:t>
            </w:r>
            <w:proofErr w:type="gramEnd"/>
          </w:p>
          <w:p>
            <w:pPr>
              <w:spacing w:after="0" w:line="240" w:lineRule="auto"/>
              <w:jc w:val="both"/>
              <w:rPr>
                <w:rFonts w:ascii="Times New Roman" w:hAnsi="Times New Roman"/>
                <w:sz w:val="24"/>
                <w:szCs w:val="24"/>
              </w:rPr>
            </w:pPr>
          </w:p>
          <w:p>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2. </w:t>
            </w:r>
            <w:proofErr w:type="gramStart"/>
            <w:r>
              <w:rPr>
                <w:rFonts w:ascii="Times New Roman" w:hAnsi="Times New Roman"/>
                <w:sz w:val="24"/>
                <w:szCs w:val="24"/>
              </w:rPr>
              <w:t>Полномочному  представителю</w:t>
            </w:r>
            <w:proofErr w:type="gramEnd"/>
            <w:r>
              <w:rPr>
                <w:rFonts w:ascii="Times New Roman" w:hAnsi="Times New Roman"/>
                <w:sz w:val="24"/>
                <w:szCs w:val="24"/>
              </w:rPr>
              <w:t xml:space="preserve"> Председателя Центрального совета ВДПО в Сибирском федеральном округе </w:t>
            </w:r>
          </w:p>
          <w:p>
            <w:pPr>
              <w:spacing w:after="0" w:line="240" w:lineRule="auto"/>
              <w:jc w:val="both"/>
              <w:rPr>
                <w:rFonts w:ascii="Times New Roman" w:hAnsi="Times New Roman"/>
                <w:sz w:val="24"/>
                <w:szCs w:val="24"/>
              </w:rPr>
            </w:pPr>
            <w:r>
              <w:rPr>
                <w:rFonts w:ascii="Times New Roman" w:hAnsi="Times New Roman"/>
                <w:sz w:val="24"/>
                <w:szCs w:val="24"/>
              </w:rPr>
              <w:t>Галкиной Р.Г.</w:t>
            </w:r>
          </w:p>
          <w:p>
            <w:pPr>
              <w:spacing w:after="0" w:line="240" w:lineRule="auto"/>
              <w:jc w:val="both"/>
              <w:rPr>
                <w:rFonts w:ascii="Times New Roman" w:hAnsi="Times New Roman"/>
                <w:sz w:val="24"/>
                <w:szCs w:val="24"/>
              </w:rPr>
            </w:pPr>
            <w:r>
              <w:rPr>
                <w:rFonts w:ascii="Times New Roman" w:hAnsi="Times New Roman"/>
                <w:sz w:val="24"/>
                <w:szCs w:val="24"/>
              </w:rPr>
              <w:t xml:space="preserve">Электронный </w:t>
            </w:r>
            <w:proofErr w:type="gramStart"/>
            <w:r>
              <w:rPr>
                <w:rFonts w:ascii="Times New Roman" w:hAnsi="Times New Roman"/>
                <w:sz w:val="24"/>
                <w:szCs w:val="24"/>
              </w:rPr>
              <w:t xml:space="preserve">адрес:   </w:t>
            </w:r>
            <w:proofErr w:type="gramEnd"/>
            <w:r>
              <w:rPr>
                <w:rFonts w:ascii="Times New Roman" w:hAnsi="Times New Roman"/>
                <w:sz w:val="24"/>
                <w:szCs w:val="24"/>
              </w:rPr>
              <w:t>galkinarg@mail.ru</w:t>
            </w:r>
          </w:p>
          <w:p>
            <w:pPr>
              <w:spacing w:after="0" w:line="240" w:lineRule="auto"/>
              <w:jc w:val="both"/>
              <w:rPr>
                <w:rFonts w:ascii="Times New Roman" w:hAnsi="Times New Roman"/>
                <w:sz w:val="24"/>
                <w:szCs w:val="24"/>
              </w:rPr>
            </w:pPr>
          </w:p>
          <w:p>
            <w:pPr>
              <w:spacing w:after="0" w:line="240" w:lineRule="auto"/>
              <w:jc w:val="both"/>
              <w:rPr>
                <w:rFonts w:ascii="Times New Roman" w:hAnsi="Times New Roman"/>
                <w:sz w:val="24"/>
                <w:szCs w:val="24"/>
              </w:rPr>
            </w:pPr>
            <w:r>
              <w:rPr>
                <w:rFonts w:ascii="Times New Roman" w:hAnsi="Times New Roman"/>
                <w:sz w:val="24"/>
                <w:szCs w:val="24"/>
              </w:rPr>
              <w:t xml:space="preserve">3. </w:t>
            </w:r>
            <w:proofErr w:type="gramStart"/>
            <w:r>
              <w:rPr>
                <w:rFonts w:ascii="Times New Roman" w:hAnsi="Times New Roman"/>
                <w:sz w:val="24"/>
                <w:szCs w:val="24"/>
              </w:rPr>
              <w:t>Председателю  Региональной</w:t>
            </w:r>
            <w:proofErr w:type="gramEnd"/>
            <w:r>
              <w:rPr>
                <w:rFonts w:ascii="Times New Roman" w:hAnsi="Times New Roman"/>
                <w:sz w:val="24"/>
                <w:szCs w:val="24"/>
              </w:rPr>
              <w:t xml:space="preserve"> общественной  организации «Общественный поисково-спасательный отряд Республики Хакасия»</w:t>
            </w:r>
          </w:p>
          <w:p>
            <w:pPr>
              <w:spacing w:after="0" w:line="240" w:lineRule="auto"/>
              <w:jc w:val="both"/>
              <w:rPr>
                <w:rFonts w:ascii="Times New Roman" w:hAnsi="Times New Roman"/>
                <w:sz w:val="24"/>
                <w:szCs w:val="24"/>
              </w:rPr>
            </w:pPr>
            <w:r>
              <w:rPr>
                <w:rFonts w:ascii="Times New Roman" w:hAnsi="Times New Roman"/>
                <w:sz w:val="24"/>
                <w:szCs w:val="24"/>
              </w:rPr>
              <w:t>Олейнику А.В.</w:t>
            </w:r>
          </w:p>
          <w:p>
            <w:pPr>
              <w:spacing w:after="0" w:line="240" w:lineRule="auto"/>
              <w:jc w:val="both"/>
              <w:rPr>
                <w:rFonts w:ascii="Times New Roman" w:hAnsi="Times New Roman"/>
                <w:sz w:val="24"/>
                <w:szCs w:val="24"/>
              </w:rPr>
            </w:pPr>
            <w:r>
              <w:rPr>
                <w:rFonts w:ascii="Times New Roman" w:hAnsi="Times New Roman"/>
                <w:sz w:val="24"/>
                <w:szCs w:val="24"/>
              </w:rPr>
              <w:t xml:space="preserve">Электронный адрес – pso.sayn@yandex.ru </w:t>
            </w:r>
          </w:p>
          <w:p>
            <w:pPr>
              <w:spacing w:after="0" w:line="240" w:lineRule="auto"/>
              <w:jc w:val="both"/>
              <w:rPr>
                <w:rFonts w:ascii="Times New Roman" w:hAnsi="Times New Roman"/>
                <w:sz w:val="24"/>
                <w:szCs w:val="24"/>
              </w:rPr>
            </w:pPr>
          </w:p>
          <w:p>
            <w:pPr>
              <w:spacing w:after="0" w:line="240" w:lineRule="auto"/>
              <w:jc w:val="both"/>
              <w:rPr>
                <w:rFonts w:ascii="Times New Roman" w:hAnsi="Times New Roman"/>
                <w:sz w:val="24"/>
                <w:szCs w:val="24"/>
              </w:rPr>
            </w:pPr>
            <w:r>
              <w:rPr>
                <w:rFonts w:ascii="Times New Roman" w:hAnsi="Times New Roman"/>
                <w:sz w:val="24"/>
                <w:szCs w:val="24"/>
              </w:rPr>
              <w:t xml:space="preserve">4.  Председателю Автономной некоммерческой организации по оказанию помощи пропавшим и пострадавшим детям «Хакасский республиканский мониторинговый центр помощи пропавшим и пострадавшим детям». </w:t>
            </w:r>
          </w:p>
          <w:p>
            <w:pPr>
              <w:spacing w:after="0" w:line="240" w:lineRule="auto"/>
              <w:jc w:val="both"/>
              <w:rPr>
                <w:rFonts w:ascii="Times New Roman" w:hAnsi="Times New Roman"/>
                <w:sz w:val="24"/>
                <w:szCs w:val="24"/>
              </w:rPr>
            </w:pPr>
            <w:r>
              <w:rPr>
                <w:rFonts w:ascii="Times New Roman" w:hAnsi="Times New Roman"/>
                <w:sz w:val="24"/>
                <w:szCs w:val="24"/>
              </w:rPr>
              <w:t>Ковригина А.С.</w:t>
            </w:r>
          </w:p>
          <w:p>
            <w:pPr>
              <w:spacing w:after="0" w:line="240" w:lineRule="auto"/>
              <w:jc w:val="both"/>
              <w:rPr>
                <w:rFonts w:ascii="Times New Roman" w:hAnsi="Times New Roman"/>
                <w:sz w:val="24"/>
                <w:szCs w:val="24"/>
              </w:rPr>
            </w:pPr>
            <w:r>
              <w:rPr>
                <w:rFonts w:ascii="Times New Roman" w:hAnsi="Times New Roman"/>
                <w:sz w:val="24"/>
                <w:szCs w:val="24"/>
              </w:rPr>
              <w:t xml:space="preserve">Электронный адрес - nasty.osipova2017@yandex.ru </w:t>
            </w:r>
          </w:p>
          <w:p>
            <w:pPr>
              <w:spacing w:after="0" w:line="240" w:lineRule="auto"/>
              <w:jc w:val="both"/>
              <w:rPr>
                <w:rFonts w:ascii="Times New Roman" w:hAnsi="Times New Roman"/>
                <w:sz w:val="24"/>
                <w:szCs w:val="24"/>
              </w:rPr>
            </w:pPr>
          </w:p>
          <w:p>
            <w:pPr>
              <w:spacing w:after="0" w:line="240" w:lineRule="auto"/>
              <w:jc w:val="both"/>
              <w:rPr>
                <w:rFonts w:ascii="Times New Roman" w:hAnsi="Times New Roman"/>
                <w:sz w:val="24"/>
                <w:szCs w:val="24"/>
              </w:rPr>
            </w:pPr>
            <w:r>
              <w:rPr>
                <w:rFonts w:ascii="Times New Roman" w:hAnsi="Times New Roman"/>
                <w:sz w:val="24"/>
                <w:szCs w:val="24"/>
              </w:rPr>
              <w:t xml:space="preserve">5. Начальнику Главного управления МЧС России по Республике Хакасия </w:t>
            </w:r>
          </w:p>
          <w:p>
            <w:pPr>
              <w:spacing w:after="0" w:line="240" w:lineRule="auto"/>
              <w:jc w:val="both"/>
              <w:rPr>
                <w:rFonts w:ascii="Times New Roman" w:hAnsi="Times New Roman"/>
                <w:sz w:val="24"/>
                <w:szCs w:val="24"/>
              </w:rPr>
            </w:pPr>
            <w:r>
              <w:rPr>
                <w:rFonts w:ascii="Times New Roman" w:hAnsi="Times New Roman"/>
                <w:sz w:val="24"/>
                <w:szCs w:val="24"/>
              </w:rPr>
              <w:t>Мулл А.А.</w:t>
            </w:r>
          </w:p>
          <w:p>
            <w:pPr>
              <w:spacing w:after="0" w:line="240" w:lineRule="auto"/>
              <w:jc w:val="both"/>
              <w:rPr>
                <w:rFonts w:ascii="Times New Roman" w:hAnsi="Times New Roman"/>
                <w:sz w:val="24"/>
                <w:szCs w:val="24"/>
              </w:rPr>
            </w:pPr>
            <w:r>
              <w:rPr>
                <w:rFonts w:ascii="Times New Roman" w:hAnsi="Times New Roman"/>
                <w:sz w:val="24"/>
                <w:szCs w:val="24"/>
              </w:rPr>
              <w:t>Электронный адрес: GU@19.mchs.gov.ru</w:t>
            </w:r>
          </w:p>
          <w:p>
            <w:pPr>
              <w:spacing w:after="0" w:line="240" w:lineRule="auto"/>
              <w:jc w:val="center"/>
              <w:rPr>
                <w:rFonts w:ascii="Times New Roman" w:hAnsi="Times New Roman"/>
                <w:sz w:val="20"/>
                <w:szCs w:val="24"/>
              </w:rPr>
            </w:pPr>
            <w:r>
              <w:rPr>
                <w:rFonts w:ascii="Times New Roman" w:hAnsi="Times New Roman"/>
                <w:sz w:val="20"/>
                <w:szCs w:val="24"/>
              </w:rPr>
              <w:t xml:space="preserve"> (место для текстового описания)</w:t>
            </w:r>
          </w:p>
          <w:p>
            <w:pPr>
              <w:spacing w:after="0" w:line="240" w:lineRule="auto"/>
              <w:rPr>
                <w:rFonts w:ascii="Times New Roman" w:hAnsi="Times New Roman"/>
                <w:sz w:val="16"/>
                <w:szCs w:val="16"/>
              </w:rPr>
            </w:pPr>
          </w:p>
        </w:tc>
      </w:tr>
      <w:tr>
        <w:tc>
          <w:tcPr>
            <w:tcW w:w="658" w:type="dxa"/>
            <w:tcBorders>
              <w:bottom w:val="single" w:sz="4" w:space="0" w:color="000000"/>
            </w:tcBorders>
            <w:shd w:val="clear" w:color="auto" w:fill="auto"/>
          </w:tcPr>
          <w:p>
            <w:pPr>
              <w:spacing w:line="240" w:lineRule="auto"/>
              <w:jc w:val="center"/>
              <w:rPr>
                <w:rFonts w:ascii="Times New Roman" w:hAnsi="Times New Roman"/>
                <w:sz w:val="24"/>
                <w:szCs w:val="24"/>
              </w:rPr>
            </w:pPr>
            <w:r>
              <w:rPr>
                <w:rFonts w:ascii="Times New Roman" w:hAnsi="Times New Roman"/>
                <w:sz w:val="24"/>
                <w:szCs w:val="24"/>
              </w:rPr>
              <w:lastRenderedPageBreak/>
              <w:t>1.5.</w:t>
            </w:r>
          </w:p>
        </w:tc>
        <w:tc>
          <w:tcPr>
            <w:tcW w:w="9235" w:type="dxa"/>
            <w:gridSpan w:val="26"/>
            <w:tcBorders>
              <w:bottom w:val="single" w:sz="4" w:space="0" w:color="000000"/>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Сведения о лицах, представивших предложения:</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pPr>
              <w:spacing w:after="0" w:line="240" w:lineRule="auto"/>
              <w:jc w:val="center"/>
              <w:rPr>
                <w:rFonts w:ascii="Times New Roman" w:hAnsi="Times New Roman"/>
                <w:sz w:val="24"/>
                <w:szCs w:val="24"/>
              </w:rPr>
            </w:pPr>
            <w:r>
              <w:rPr>
                <w:rFonts w:ascii="Times New Roman" w:hAnsi="Times New Roman"/>
                <w:sz w:val="20"/>
                <w:szCs w:val="24"/>
              </w:rPr>
              <w:t>(место для текстового описания)</w:t>
            </w:r>
          </w:p>
        </w:tc>
      </w:tr>
      <w:tr>
        <w:tc>
          <w:tcPr>
            <w:tcW w:w="658" w:type="dxa"/>
            <w:tcBorders>
              <w:bottom w:val="single" w:sz="4" w:space="0" w:color="auto"/>
            </w:tcBorders>
            <w:shd w:val="clear" w:color="auto" w:fill="auto"/>
          </w:tcPr>
          <w:p>
            <w:pPr>
              <w:spacing w:line="240" w:lineRule="auto"/>
              <w:jc w:val="center"/>
              <w:rPr>
                <w:rFonts w:ascii="Times New Roman" w:hAnsi="Times New Roman"/>
                <w:sz w:val="24"/>
                <w:szCs w:val="24"/>
              </w:rPr>
            </w:pPr>
            <w:r>
              <w:rPr>
                <w:rFonts w:ascii="Times New Roman" w:hAnsi="Times New Roman"/>
                <w:sz w:val="24"/>
                <w:szCs w:val="24"/>
              </w:rPr>
              <w:t>1.6.</w:t>
            </w:r>
          </w:p>
        </w:tc>
        <w:tc>
          <w:tcPr>
            <w:tcW w:w="9235" w:type="dxa"/>
            <w:gridSpan w:val="26"/>
            <w:tcBorders>
              <w:bottom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 xml:space="preserve">Контактная информация исполнителя в регулирующем органе, и иные сведения </w:t>
            </w:r>
            <w:r>
              <w:rPr>
                <w:rFonts w:ascii="Times New Roman" w:hAnsi="Times New Roman"/>
                <w:sz w:val="24"/>
                <w:szCs w:val="24"/>
              </w:rPr>
              <w:br/>
              <w:t>о структурных подразделениях регулирующего органа рассмотревших предложения:</w:t>
            </w:r>
          </w:p>
          <w:p>
            <w:pPr>
              <w:spacing w:after="0" w:line="240" w:lineRule="auto"/>
              <w:rPr>
                <w:rFonts w:ascii="Times New Roman" w:hAnsi="Times New Roman"/>
                <w:color w:val="FF0000"/>
                <w:sz w:val="24"/>
                <w:szCs w:val="24"/>
              </w:rPr>
            </w:pPr>
            <w:r>
              <w:rPr>
                <w:rFonts w:ascii="Times New Roman" w:hAnsi="Times New Roman"/>
                <w:sz w:val="24"/>
                <w:szCs w:val="24"/>
              </w:rPr>
              <w:t>Ф.И.О.:</w:t>
            </w:r>
            <w:r>
              <w:t xml:space="preserve"> </w:t>
            </w:r>
            <w:proofErr w:type="spellStart"/>
            <w:r>
              <w:rPr>
                <w:rFonts w:ascii="Times New Roman" w:hAnsi="Times New Roman"/>
                <w:sz w:val="24"/>
                <w:szCs w:val="24"/>
              </w:rPr>
              <w:t>Сазанаков</w:t>
            </w:r>
            <w:proofErr w:type="spellEnd"/>
            <w:r>
              <w:rPr>
                <w:rFonts w:ascii="Times New Roman" w:hAnsi="Times New Roman"/>
                <w:sz w:val="24"/>
                <w:szCs w:val="24"/>
              </w:rPr>
              <w:t xml:space="preserve"> Владимир Ильич</w:t>
            </w:r>
          </w:p>
          <w:p>
            <w:pPr>
              <w:spacing w:after="0" w:line="240" w:lineRule="auto"/>
              <w:jc w:val="both"/>
              <w:rPr>
                <w:rFonts w:ascii="Times New Roman" w:hAnsi="Times New Roman"/>
                <w:sz w:val="24"/>
                <w:szCs w:val="24"/>
              </w:rPr>
            </w:pPr>
            <w:r>
              <w:rPr>
                <w:rFonts w:ascii="Times New Roman" w:hAnsi="Times New Roman"/>
                <w:sz w:val="24"/>
                <w:szCs w:val="24"/>
              </w:rPr>
              <w:t>Должность: ведущий советник отдела пожарной безопасности, учета сил и средств</w:t>
            </w:r>
          </w:p>
          <w:p>
            <w:pPr>
              <w:spacing w:after="0" w:line="240" w:lineRule="auto"/>
              <w:rPr>
                <w:rFonts w:ascii="Times New Roman" w:hAnsi="Times New Roman"/>
                <w:sz w:val="24"/>
                <w:szCs w:val="24"/>
              </w:rPr>
            </w:pPr>
            <w:r>
              <w:rPr>
                <w:rFonts w:ascii="Times New Roman" w:hAnsi="Times New Roman"/>
                <w:sz w:val="24"/>
                <w:szCs w:val="24"/>
              </w:rPr>
              <w:t>Телефон:</w:t>
            </w:r>
            <w:r>
              <w:t xml:space="preserve"> 8 </w:t>
            </w:r>
            <w:r>
              <w:rPr>
                <w:rFonts w:ascii="Times New Roman" w:hAnsi="Times New Roman"/>
                <w:sz w:val="24"/>
                <w:szCs w:val="24"/>
              </w:rPr>
              <w:t>(3902)305-668</w:t>
            </w:r>
          </w:p>
          <w:p>
            <w:pPr>
              <w:spacing w:after="0" w:line="240" w:lineRule="auto"/>
              <w:rPr>
                <w:rFonts w:ascii="Times New Roman" w:hAnsi="Times New Roman"/>
                <w:sz w:val="24"/>
                <w:szCs w:val="24"/>
              </w:rPr>
            </w:pPr>
            <w:r>
              <w:rPr>
                <w:rFonts w:ascii="Times New Roman" w:hAnsi="Times New Roman"/>
                <w:sz w:val="24"/>
                <w:szCs w:val="24"/>
              </w:rPr>
              <w:t>Адрес электронной почты:</w:t>
            </w:r>
            <w:r>
              <w:t xml:space="preserve"> </w:t>
            </w:r>
            <w:proofErr w:type="spellStart"/>
            <w:r>
              <w:rPr>
                <w:rFonts w:ascii="Times New Roman" w:hAnsi="Times New Roman"/>
                <w:sz w:val="26"/>
                <w:szCs w:val="26"/>
                <w:highlight w:val="white"/>
                <w:lang w:val="en-US"/>
              </w:rPr>
              <w:t>opbsis</w:t>
            </w:r>
            <w:proofErr w:type="spellEnd"/>
            <w:r>
              <w:rPr>
                <w:rFonts w:ascii="Times New Roman" w:hAnsi="Times New Roman"/>
                <w:sz w:val="26"/>
                <w:szCs w:val="26"/>
                <w:highlight w:val="white"/>
              </w:rPr>
              <w:t>@r-19.</w:t>
            </w:r>
            <w:proofErr w:type="spellStart"/>
            <w:r>
              <w:rPr>
                <w:rFonts w:ascii="Times New Roman" w:hAnsi="Times New Roman"/>
                <w:sz w:val="26"/>
                <w:szCs w:val="26"/>
                <w:highlight w:val="white"/>
                <w:lang w:val="en-US"/>
              </w:rPr>
              <w:t>ru</w:t>
            </w:r>
            <w:proofErr w:type="spellEnd"/>
          </w:p>
          <w:p>
            <w:pPr>
              <w:spacing w:after="0" w:line="240" w:lineRule="auto"/>
              <w:rPr>
                <w:rFonts w:ascii="Times New Roman" w:hAnsi="Times New Roman"/>
                <w:sz w:val="24"/>
                <w:szCs w:val="24"/>
              </w:rPr>
            </w:pPr>
          </w:p>
        </w:tc>
      </w:tr>
      <w:tr>
        <w:tc>
          <w:tcPr>
            <w:tcW w:w="658" w:type="dxa"/>
            <w:tcBorders>
              <w:top w:val="single" w:sz="4" w:space="0" w:color="auto"/>
              <w:left w:val="none" w:sz="4" w:space="0" w:color="000000"/>
              <w:bottom w:val="single" w:sz="4" w:space="0" w:color="auto"/>
              <w:right w:val="none" w:sz="4" w:space="0" w:color="000000"/>
            </w:tcBorders>
            <w:shd w:val="clear" w:color="auto" w:fill="auto"/>
          </w:tcPr>
          <w:p>
            <w:pPr>
              <w:spacing w:line="240" w:lineRule="auto"/>
              <w:jc w:val="center"/>
              <w:rPr>
                <w:rFonts w:ascii="Times New Roman" w:hAnsi="Times New Roman"/>
                <w:sz w:val="24"/>
                <w:szCs w:val="24"/>
              </w:rPr>
            </w:pPr>
          </w:p>
        </w:tc>
        <w:tc>
          <w:tcPr>
            <w:tcW w:w="9235" w:type="dxa"/>
            <w:gridSpan w:val="26"/>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Степень регулирующего воздействия проекта нормативного акта</w:t>
            </w:r>
          </w:p>
          <w:p>
            <w:pPr>
              <w:spacing w:after="0" w:line="240" w:lineRule="auto"/>
              <w:ind w:left="360"/>
              <w:rPr>
                <w:rFonts w:ascii="Times New Roman" w:hAnsi="Times New Roman"/>
                <w:sz w:val="16"/>
                <w:szCs w:val="16"/>
              </w:rPr>
            </w:pPr>
          </w:p>
        </w:tc>
      </w:tr>
      <w:tr>
        <w:tc>
          <w:tcPr>
            <w:tcW w:w="658" w:type="dxa"/>
            <w:tcBorders>
              <w:top w:val="single" w:sz="4" w:space="0" w:color="auto"/>
              <w:bottom w:val="single" w:sz="4" w:space="0" w:color="auto"/>
            </w:tcBorders>
            <w:shd w:val="clear" w:color="auto" w:fill="auto"/>
          </w:tcPr>
          <w:p>
            <w:pPr>
              <w:spacing w:line="240" w:lineRule="auto"/>
              <w:jc w:val="center"/>
              <w:rPr>
                <w:rFonts w:ascii="Times New Roman" w:hAnsi="Times New Roman"/>
                <w:sz w:val="24"/>
                <w:szCs w:val="24"/>
              </w:rPr>
            </w:pPr>
            <w:r>
              <w:rPr>
                <w:rFonts w:ascii="Times New Roman" w:hAnsi="Times New Roman"/>
                <w:sz w:val="24"/>
                <w:szCs w:val="24"/>
              </w:rPr>
              <w:t>2.1.</w:t>
            </w:r>
          </w:p>
        </w:tc>
        <w:tc>
          <w:tcPr>
            <w:tcW w:w="6179" w:type="dxa"/>
            <w:gridSpan w:val="21"/>
            <w:tcBorders>
              <w:top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Степень регулирующего воздействия проекта нормативного акта:</w:t>
            </w:r>
          </w:p>
        </w:tc>
        <w:tc>
          <w:tcPr>
            <w:tcW w:w="3056" w:type="dxa"/>
            <w:gridSpan w:val="5"/>
            <w:tcBorders>
              <w:top w:val="single" w:sz="4" w:space="0" w:color="auto"/>
              <w:left w:val="single" w:sz="4" w:space="0" w:color="auto"/>
              <w:bottom w:val="single" w:sz="4" w:space="0" w:color="auto"/>
            </w:tcBorders>
            <w:shd w:val="clear" w:color="auto" w:fill="auto"/>
            <w:vAlign w:val="center"/>
          </w:tcPr>
          <w:p>
            <w:pPr>
              <w:spacing w:after="0" w:line="240" w:lineRule="auto"/>
              <w:jc w:val="center"/>
              <w:rPr>
                <w:rFonts w:ascii="Times New Roman" w:hAnsi="Times New Roman"/>
                <w:sz w:val="24"/>
                <w:szCs w:val="24"/>
              </w:rPr>
            </w:pPr>
            <w:r>
              <w:rPr>
                <w:rFonts w:ascii="Times New Roman" w:hAnsi="Times New Roman"/>
                <w:sz w:val="24"/>
                <w:szCs w:val="24"/>
                <w:u w:val="single"/>
              </w:rPr>
              <w:t>высокая</w:t>
            </w:r>
            <w:r>
              <w:rPr>
                <w:rFonts w:ascii="Times New Roman" w:hAnsi="Times New Roman"/>
                <w:sz w:val="24"/>
                <w:szCs w:val="24"/>
              </w:rPr>
              <w:t>/средняя/низкая</w:t>
            </w:r>
          </w:p>
          <w:p>
            <w:pPr>
              <w:spacing w:after="0" w:line="240" w:lineRule="auto"/>
              <w:jc w:val="center"/>
              <w:rPr>
                <w:rFonts w:ascii="Times New Roman" w:hAnsi="Times New Roman"/>
                <w:sz w:val="24"/>
                <w:szCs w:val="24"/>
              </w:rPr>
            </w:pPr>
            <w:r>
              <w:rPr>
                <w:rFonts w:ascii="Times New Roman" w:hAnsi="Times New Roman"/>
                <w:sz w:val="20"/>
                <w:szCs w:val="24"/>
              </w:rPr>
              <w:t>(нужное подчеркнуть)</w:t>
            </w:r>
          </w:p>
        </w:tc>
      </w:tr>
      <w:tr>
        <w:tc>
          <w:tcPr>
            <w:tcW w:w="658" w:type="dxa"/>
            <w:tcBorders>
              <w:top w:val="single" w:sz="4" w:space="0" w:color="auto"/>
              <w:bottom w:val="single" w:sz="4" w:space="0" w:color="auto"/>
            </w:tcBorders>
            <w:shd w:val="clear" w:color="auto" w:fill="auto"/>
          </w:tcPr>
          <w:p>
            <w:pPr>
              <w:spacing w:line="240" w:lineRule="auto"/>
              <w:jc w:val="center"/>
              <w:rPr>
                <w:rFonts w:ascii="Times New Roman" w:hAnsi="Times New Roman"/>
                <w:sz w:val="24"/>
                <w:szCs w:val="24"/>
              </w:rPr>
            </w:pPr>
            <w:r>
              <w:rPr>
                <w:rFonts w:ascii="Times New Roman" w:hAnsi="Times New Roman"/>
                <w:sz w:val="24"/>
                <w:szCs w:val="24"/>
              </w:rPr>
              <w:t>2.2.</w:t>
            </w:r>
          </w:p>
        </w:tc>
        <w:tc>
          <w:tcPr>
            <w:tcW w:w="9235" w:type="dxa"/>
            <w:gridSpan w:val="26"/>
            <w:tcBorders>
              <w:top w:val="single" w:sz="4" w:space="0" w:color="auto"/>
              <w:bottom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 xml:space="preserve">Обоснование отнесения проекта нормативного акта к определенной степени регулирующего воздействия: </w:t>
            </w:r>
          </w:p>
          <w:p>
            <w:pPr>
              <w:spacing w:after="0" w:line="240" w:lineRule="auto"/>
              <w:ind w:firstLine="709"/>
              <w:jc w:val="both"/>
              <w:rPr>
                <w:rFonts w:ascii="Times New Roman" w:hAnsi="Times New Roman"/>
                <w:sz w:val="24"/>
                <w:szCs w:val="24"/>
                <w:lang w:eastAsia="zh-CN"/>
              </w:rPr>
            </w:pPr>
          </w:p>
          <w:p>
            <w:pPr>
              <w:spacing w:after="0" w:line="240" w:lineRule="auto"/>
              <w:ind w:firstLine="709"/>
              <w:jc w:val="both"/>
              <w:rPr>
                <w:rFonts w:ascii="Times New Roman" w:hAnsi="Times New Roman"/>
                <w:sz w:val="26"/>
                <w:szCs w:val="26"/>
              </w:rPr>
            </w:pPr>
            <w:r>
              <w:rPr>
                <w:rFonts w:ascii="Times New Roman" w:hAnsi="Times New Roman"/>
                <w:sz w:val="24"/>
                <w:szCs w:val="24"/>
                <w:lang w:eastAsia="zh-CN"/>
              </w:rPr>
              <w:t xml:space="preserve">С 01 сентября 2025 года вступил в силу Федеральный закон от 24.06.2025 </w:t>
            </w:r>
            <w:r>
              <w:rPr>
                <w:rFonts w:ascii="Times New Roman" w:hAnsi="Times New Roman"/>
                <w:sz w:val="24"/>
                <w:szCs w:val="24"/>
                <w:lang w:eastAsia="zh-CN"/>
              </w:rPr>
              <w:br/>
              <w:t xml:space="preserve">№ 169-ФЗ «О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 согласно которому утратил силу пункт 7 статьи 25 Водного кодекса Российской Федерации, закрепляющий за органами государственной власти субъектов Российской Федерации полномочие по утверждению правил пользования водными объектами для плавания на маломерных судах. Этим же федеральным законом вносятся изменения в пункт 112 части 1 статьи 44 Федерального закона от 21 декабря 2021 года № 414-ФЗ «Об общих принципах организации публичной власти в субъектах Российской Федерации», где слова «водными объектами для плавания на маломерных </w:t>
            </w:r>
            <w:r>
              <w:rPr>
                <w:rFonts w:ascii="Times New Roman" w:hAnsi="Times New Roman"/>
                <w:sz w:val="24"/>
                <w:szCs w:val="24"/>
                <w:lang w:eastAsia="zh-CN"/>
              </w:rPr>
              <w:lastRenderedPageBreak/>
              <w:t>судах, правил охраны жизни» заменяются словами «маломерными судами на водных объектах на территории субъекта Российской Федерации».</w:t>
            </w:r>
          </w:p>
          <w:p>
            <w:pPr>
              <w:spacing w:after="0" w:line="240" w:lineRule="auto"/>
              <w:ind w:firstLine="709"/>
              <w:jc w:val="both"/>
              <w:rPr>
                <w:rFonts w:ascii="Times New Roman" w:hAnsi="Times New Roman"/>
                <w:sz w:val="26"/>
                <w:szCs w:val="26"/>
              </w:rPr>
            </w:pPr>
            <w:r>
              <w:rPr>
                <w:rFonts w:ascii="Times New Roman" w:hAnsi="Times New Roman"/>
                <w:sz w:val="24"/>
                <w:szCs w:val="24"/>
                <w:lang w:eastAsia="zh-CN"/>
              </w:rPr>
              <w:t>Также 01 сентября 2025 года вступил в силу Федеральный закон от 03.02.2025 № 4-ФЗ «О безопасности людей на водных объектах», регулирующий отношения в области обеспечения безопасности людей на водных объектах и прилегающих к ним территориях, частью 1 статьи 17 которого установлено, что в целях обеспечения безопасности людей на водных объектах органами государственной власти субъекта Российской Федерации утверждаются правила пользования маломерными судами на водных объектах на территории субъекта Российской Федерации. Согласно части 3 вышеуказанной статьи полномочие по утверждению Правил возложено на высший исполнительный орган субъекта Российской Федерации.</w:t>
            </w:r>
          </w:p>
          <w:p>
            <w:pPr>
              <w:spacing w:after="0" w:line="240" w:lineRule="auto"/>
              <w:ind w:firstLine="709"/>
              <w:jc w:val="both"/>
              <w:rPr>
                <w:rFonts w:ascii="Times New Roman" w:hAnsi="Times New Roman"/>
                <w:sz w:val="24"/>
                <w:szCs w:val="24"/>
                <w:highlight w:val="white"/>
              </w:rPr>
            </w:pPr>
            <w:r>
              <w:rPr>
                <w:rFonts w:ascii="Times New Roman" w:hAnsi="Times New Roman"/>
                <w:sz w:val="24"/>
                <w:szCs w:val="24"/>
                <w:lang w:eastAsia="zh-CN"/>
              </w:rPr>
              <w:t xml:space="preserve">Учитывая изложенное, в целях приведения законодательства Республики Хакасия в соответствие с федеральным законодательством, требуется признать утратившим силу постановление Правительства Республики Хакасия от 27.06.2007 </w:t>
            </w:r>
            <w:r>
              <w:rPr>
                <w:rFonts w:ascii="Times New Roman" w:hAnsi="Times New Roman"/>
                <w:sz w:val="24"/>
                <w:szCs w:val="24"/>
                <w:lang w:eastAsia="zh-CN"/>
              </w:rPr>
              <w:br/>
              <w:t xml:space="preserve">№ 199 «Об утверждении Правил пользования водными объектами для плавания на маломерных судах в Республике Хакасия» и утвердить </w:t>
            </w:r>
            <w:r>
              <w:rPr>
                <w:rFonts w:ascii="Times New Roman" w:hAnsi="Times New Roman"/>
                <w:bCs/>
                <w:sz w:val="24"/>
                <w:szCs w:val="24"/>
                <w:lang w:eastAsia="zh-CN"/>
              </w:rPr>
              <w:t>Правила пользования маломерными судами на водных объектах на территории Республики Хакасия</w:t>
            </w:r>
            <w:r>
              <w:rPr>
                <w:rFonts w:ascii="Times New Roman" w:hAnsi="Times New Roman"/>
                <w:sz w:val="24"/>
                <w:szCs w:val="24"/>
                <w:highlight w:val="white"/>
              </w:rPr>
              <w:t>.</w:t>
            </w:r>
          </w:p>
          <w:p>
            <w:pPr>
              <w:spacing w:after="0" w:line="240" w:lineRule="auto"/>
              <w:ind w:firstLine="709"/>
              <w:jc w:val="both"/>
              <w:rPr>
                <w:rFonts w:ascii="Times New Roman" w:hAnsi="Times New Roman"/>
                <w:sz w:val="24"/>
                <w:szCs w:val="24"/>
                <w:highlight w:val="white"/>
              </w:rPr>
            </w:pPr>
            <w:r>
              <w:rPr>
                <w:rFonts w:ascii="Times New Roman" w:hAnsi="Times New Roman"/>
                <w:sz w:val="24"/>
                <w:szCs w:val="24"/>
              </w:rPr>
              <w:t xml:space="preserve">В соответствии с </w:t>
            </w:r>
            <w:r>
              <w:rPr>
                <w:rFonts w:ascii="Times New Roman" w:hAnsi="Times New Roman"/>
                <w:sz w:val="24"/>
                <w:szCs w:val="24"/>
                <w:highlight w:val="white"/>
              </w:rPr>
              <w:t xml:space="preserve">пунктом 1.3  </w:t>
            </w:r>
            <w:r>
              <w:rPr>
                <w:rFonts w:ascii="Times New Roman" w:hAnsi="Times New Roman"/>
                <w:sz w:val="24"/>
                <w:szCs w:val="24"/>
              </w:rPr>
              <w:t>Порядка оценки регулирующего воздействия проектов нормативных правовых актов Республики Хакасия, затрагивающих вопросы осуществления предпринимательской и иной экономической деятельности,</w:t>
            </w:r>
            <w:r>
              <w:rPr>
                <w:rFonts w:ascii="Times New Roman" w:hAnsi="Times New Roman"/>
                <w:sz w:val="24"/>
                <w:szCs w:val="24"/>
                <w:highlight w:val="white"/>
              </w:rPr>
              <w:t xml:space="preserve"> утвержденного </w:t>
            </w:r>
            <w:r>
              <w:rPr>
                <w:rFonts w:ascii="Times New Roman" w:hAnsi="Times New Roman"/>
                <w:sz w:val="24"/>
                <w:szCs w:val="24"/>
              </w:rPr>
              <w:t xml:space="preserve">постановлением Правительства Республики Хакасия от 02.12.2013 </w:t>
            </w:r>
            <w:r>
              <w:rPr>
                <w:rFonts w:ascii="Times New Roman" w:hAnsi="Times New Roman"/>
                <w:sz w:val="24"/>
                <w:szCs w:val="24"/>
              </w:rPr>
              <w:br/>
              <w:t>№ 671,</w:t>
            </w:r>
            <w:r>
              <w:rPr>
                <w:rFonts w:ascii="Times New Roman" w:hAnsi="Times New Roman"/>
                <w:sz w:val="24"/>
                <w:szCs w:val="24"/>
                <w:highlight w:val="white"/>
              </w:rPr>
              <w:t xml:space="preserve"> проект постановления относится к высокой степени регулирующего воздействия </w:t>
            </w:r>
            <w:r>
              <w:rPr>
                <w:rFonts w:ascii="Times New Roman" w:hAnsi="Times New Roman"/>
                <w:sz w:val="24"/>
                <w:szCs w:val="24"/>
              </w:rPr>
              <w:t>содержит положения, устанавливающие новые обязательные требования, либо проект нормативного акта содержит положения, устанавливающие новые обязанности и запреты для субъектов предпринимательской и инвестиционной деятельност</w:t>
            </w:r>
            <w:r>
              <w:rPr>
                <w:rFonts w:ascii="Times New Roman" w:hAnsi="Times New Roman"/>
                <w:sz w:val="24"/>
                <w:szCs w:val="24"/>
                <w:highlight w:val="white"/>
              </w:rPr>
              <w:t>и.</w:t>
            </w:r>
          </w:p>
        </w:tc>
      </w:tr>
      <w:tr>
        <w:tc>
          <w:tcPr>
            <w:tcW w:w="658" w:type="dxa"/>
            <w:tcBorders>
              <w:top w:val="single" w:sz="4" w:space="0" w:color="auto"/>
              <w:left w:val="none" w:sz="4" w:space="0" w:color="000000"/>
              <w:bottom w:val="single" w:sz="4" w:space="0" w:color="auto"/>
              <w:right w:val="none" w:sz="4" w:space="0" w:color="000000"/>
            </w:tcBorders>
            <w:shd w:val="clear" w:color="auto" w:fill="auto"/>
          </w:tcPr>
          <w:p>
            <w:pPr>
              <w:spacing w:line="240" w:lineRule="auto"/>
              <w:jc w:val="center"/>
              <w:rPr>
                <w:rFonts w:ascii="Times New Roman" w:hAnsi="Times New Roman"/>
                <w:sz w:val="24"/>
                <w:szCs w:val="24"/>
              </w:rPr>
            </w:pPr>
          </w:p>
        </w:tc>
        <w:tc>
          <w:tcPr>
            <w:tcW w:w="9235" w:type="dxa"/>
            <w:gridSpan w:val="26"/>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Описание проблемы, на решение которой направлен предлагаемый способ регулирования, условий и факторов её существования, оценка негативных эффектов, возникающих в связи с наличием рассматриваемой проблемы</w:t>
            </w:r>
          </w:p>
          <w:p>
            <w:pPr>
              <w:spacing w:after="0" w:line="240" w:lineRule="auto"/>
              <w:ind w:left="360"/>
              <w:rPr>
                <w:rFonts w:ascii="Times New Roman" w:hAnsi="Times New Roman"/>
                <w:sz w:val="16"/>
                <w:szCs w:val="16"/>
              </w:rPr>
            </w:pPr>
          </w:p>
        </w:tc>
      </w:tr>
      <w:tr>
        <w:tc>
          <w:tcPr>
            <w:tcW w:w="5255" w:type="dxa"/>
            <w:gridSpan w:val="16"/>
            <w:tcBorders>
              <w:top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3.1. Описание проблемы, на решение которой направлен предлагаемый способ регулирования, условий и факторов её существования:</w:t>
            </w:r>
          </w:p>
          <w:p>
            <w:pPr>
              <w:spacing w:after="0" w:line="240" w:lineRule="auto"/>
              <w:jc w:val="both"/>
              <w:rPr>
                <w:rFonts w:ascii="Times New Roman" w:hAnsi="Times New Roman"/>
                <w:sz w:val="24"/>
                <w:szCs w:val="24"/>
              </w:rPr>
            </w:pPr>
          </w:p>
        </w:tc>
        <w:tc>
          <w:tcPr>
            <w:tcW w:w="4638" w:type="dxa"/>
            <w:gridSpan w:val="11"/>
            <w:tcBorders>
              <w:top w:val="single" w:sz="4" w:space="0" w:color="auto"/>
              <w:left w:val="single" w:sz="4" w:space="0" w:color="auto"/>
              <w:bottom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3.2. Оценка негативных эффектов, возникающих в связи с наличием рассматриваемой проблемы:</w:t>
            </w:r>
          </w:p>
          <w:p>
            <w:pPr>
              <w:spacing w:after="0" w:line="240" w:lineRule="auto"/>
              <w:jc w:val="both"/>
              <w:rPr>
                <w:rFonts w:ascii="Times New Roman" w:hAnsi="Times New Roman"/>
                <w:sz w:val="24"/>
                <w:szCs w:val="24"/>
              </w:rPr>
            </w:pPr>
          </w:p>
        </w:tc>
      </w:tr>
      <w:tr>
        <w:tc>
          <w:tcPr>
            <w:tcW w:w="5255" w:type="dxa"/>
            <w:gridSpan w:val="16"/>
            <w:tcBorders>
              <w:top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trike/>
                <w:color w:val="000000" w:themeColor="text1"/>
                <w:sz w:val="24"/>
                <w:szCs w:val="24"/>
                <w:highlight w:val="white"/>
              </w:rPr>
            </w:pPr>
            <w:r>
              <w:rPr>
                <w:rFonts w:ascii="Times New Roman" w:hAnsi="Times New Roman"/>
                <w:strike/>
                <w:color w:val="000000" w:themeColor="text1"/>
                <w:sz w:val="24"/>
                <w:szCs w:val="24"/>
                <w:highlight w:val="white"/>
              </w:rPr>
              <w:t xml:space="preserve">Региональное законодательство не соответствует федеральному законодательству, а именно Федеральному закону от 03.02.2025 № 4 ФЗ </w:t>
            </w:r>
            <w:r>
              <w:rPr>
                <w:rFonts w:ascii="Times New Roman" w:hAnsi="Times New Roman"/>
                <w:strike/>
                <w:color w:val="000000" w:themeColor="text1"/>
                <w:sz w:val="24"/>
                <w:szCs w:val="24"/>
                <w:highlight w:val="white"/>
              </w:rPr>
              <w:br/>
              <w:t>«</w:t>
            </w:r>
            <w:r>
              <w:rPr>
                <w:rFonts w:ascii="Times New Roman" w:hAnsi="Times New Roman"/>
                <w:strike/>
                <w:color w:val="000000" w:themeColor="text1"/>
                <w:spacing w:val="-4"/>
                <w:sz w:val="24"/>
                <w:szCs w:val="24"/>
                <w:highlight w:val="white"/>
              </w:rPr>
              <w:t>О безопасности людей на водных объектах</w:t>
            </w:r>
            <w:r>
              <w:rPr>
                <w:rFonts w:ascii="Times New Roman" w:hAnsi="Times New Roman"/>
                <w:strike/>
                <w:color w:val="000000" w:themeColor="text1"/>
                <w:sz w:val="24"/>
                <w:szCs w:val="24"/>
                <w:highlight w:val="white"/>
              </w:rPr>
              <w:t>».</w:t>
            </w:r>
          </w:p>
          <w:p>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highlight w:val="yellow"/>
              </w:rPr>
              <w:t>Действующие Правила пользования водными объектами для плавания на маломерных судах в Республике Хакасия, утвержденные Постановление Правительства Республики Хакасия от 27.06.2007 № 199 (далее – Правила № 199), не соответствуют положениям Федерального закона от 03.02.2025 № 4-ФЗ «О безопасности людей на водных объектах»</w:t>
            </w:r>
            <w:r>
              <w:rPr>
                <w:rFonts w:ascii="Times New Roman" w:hAnsi="Times New Roman"/>
                <w:color w:val="000000" w:themeColor="text1"/>
                <w:sz w:val="24"/>
                <w:szCs w:val="24"/>
              </w:rPr>
              <w:t xml:space="preserve">. </w:t>
            </w:r>
            <w:r>
              <w:rPr>
                <w:rFonts w:ascii="Times New Roman" w:hAnsi="Times New Roman"/>
                <w:color w:val="000000" w:themeColor="text1"/>
                <w:sz w:val="24"/>
                <w:szCs w:val="24"/>
                <w:highlight w:val="yellow"/>
              </w:rPr>
              <w:t xml:space="preserve">В связи с этим в Республики Хакасия должным образом не обеспечиваются меры безопасности людей  на водных объектах при плавании на </w:t>
            </w:r>
            <w:r>
              <w:rPr>
                <w:rFonts w:ascii="Times New Roman" w:hAnsi="Times New Roman"/>
                <w:color w:val="000000" w:themeColor="text1"/>
                <w:sz w:val="24"/>
                <w:szCs w:val="24"/>
                <w:highlight w:val="yellow"/>
              </w:rPr>
              <w:lastRenderedPageBreak/>
              <w:t>маломерных судах, меры безопасности при проведении мероприятий, связанных с использованием маломерных судов на водных объектах или их частях для рекреационных целей</w:t>
            </w:r>
            <w:r>
              <w:rPr>
                <w:rFonts w:ascii="Times New Roman" w:hAnsi="Times New Roman"/>
                <w:color w:val="000000" w:themeColor="text1"/>
                <w:sz w:val="24"/>
                <w:szCs w:val="24"/>
              </w:rPr>
              <w:t>.</w:t>
            </w:r>
          </w:p>
        </w:tc>
        <w:tc>
          <w:tcPr>
            <w:tcW w:w="4638" w:type="dxa"/>
            <w:gridSpan w:val="11"/>
            <w:tcBorders>
              <w:top w:val="single" w:sz="4" w:space="0" w:color="auto"/>
              <w:left w:val="single" w:sz="4" w:space="0" w:color="auto"/>
              <w:bottom w:val="single" w:sz="4" w:space="0" w:color="auto"/>
            </w:tcBorders>
            <w:shd w:val="clear" w:color="auto" w:fill="auto"/>
          </w:tcPr>
          <w:p>
            <w:pPr>
              <w:spacing w:after="0" w:line="240" w:lineRule="auto"/>
              <w:jc w:val="both"/>
              <w:rPr>
                <w:rFonts w:ascii="Times New Roman" w:hAnsi="Times New Roman"/>
                <w:strike/>
                <w:color w:val="000000" w:themeColor="text1"/>
                <w:sz w:val="24"/>
                <w:szCs w:val="24"/>
              </w:rPr>
            </w:pPr>
            <w:r>
              <w:rPr>
                <w:rFonts w:ascii="Times New Roman" w:hAnsi="Times New Roman"/>
                <w:strike/>
                <w:color w:val="000000" w:themeColor="text1"/>
                <w:sz w:val="24"/>
                <w:szCs w:val="24"/>
                <w:highlight w:val="white"/>
              </w:rPr>
              <w:lastRenderedPageBreak/>
              <w:t xml:space="preserve">Отсутствие утвержденных </w:t>
            </w:r>
            <w:r>
              <w:rPr>
                <w:rFonts w:ascii="Times New Roman" w:hAnsi="Times New Roman"/>
                <w:strike/>
                <w:color w:val="000000" w:themeColor="text1"/>
                <w:sz w:val="24"/>
                <w:szCs w:val="24"/>
              </w:rPr>
              <w:t>Правил пользования маломерными судами на водных объектах на территории Республики Хакасия</w:t>
            </w:r>
            <w:r>
              <w:rPr>
                <w:rFonts w:ascii="Times New Roman" w:hAnsi="Times New Roman"/>
                <w:strike/>
                <w:color w:val="000000" w:themeColor="text1"/>
                <w:sz w:val="24"/>
                <w:szCs w:val="24"/>
                <w:highlight w:val="white"/>
              </w:rPr>
              <w:t xml:space="preserve"> взамен существующих </w:t>
            </w:r>
            <w:r>
              <w:rPr>
                <w:rFonts w:ascii="Times New Roman" w:hAnsi="Times New Roman"/>
                <w:strike/>
                <w:color w:val="000000" w:themeColor="text1"/>
                <w:sz w:val="24"/>
                <w:szCs w:val="24"/>
              </w:rPr>
              <w:t xml:space="preserve">Правил пользования водными объектами для плавания на маломерных судах в Республике Хакасия, утвержденных постановлением Правительства Республики Хакасия от 27.06.2007 № 199, </w:t>
            </w:r>
            <w:r>
              <w:rPr>
                <w:rFonts w:ascii="Times New Roman" w:hAnsi="Times New Roman"/>
                <w:strike/>
                <w:color w:val="000000" w:themeColor="text1"/>
                <w:sz w:val="24"/>
                <w:szCs w:val="24"/>
                <w:highlight w:val="white"/>
              </w:rPr>
              <w:t>повлечет за собой несоответствие законодательства Республики Хакасия законодательству Российской Федерации.</w:t>
            </w:r>
          </w:p>
          <w:p>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highlight w:val="yellow"/>
              </w:rPr>
              <w:t xml:space="preserve">Непринятие новых Правил пользования маломерными судами на водных объектах </w:t>
            </w:r>
            <w:r>
              <w:rPr>
                <w:rFonts w:ascii="Times New Roman" w:hAnsi="Times New Roman"/>
                <w:color w:val="000000" w:themeColor="text1"/>
                <w:sz w:val="24"/>
                <w:szCs w:val="24"/>
                <w:highlight w:val="yellow"/>
              </w:rPr>
              <w:lastRenderedPageBreak/>
              <w:t xml:space="preserve">на территории Республики Хакасия </w:t>
            </w:r>
            <w:proofErr w:type="gramStart"/>
            <w:r>
              <w:rPr>
                <w:rFonts w:ascii="Times New Roman" w:hAnsi="Times New Roman"/>
                <w:color w:val="000000" w:themeColor="text1"/>
                <w:sz w:val="24"/>
                <w:szCs w:val="24"/>
                <w:highlight w:val="yellow"/>
              </w:rPr>
              <w:t>создает  риск</w:t>
            </w:r>
            <w:proofErr w:type="gramEnd"/>
            <w:r>
              <w:rPr>
                <w:rFonts w:ascii="Times New Roman" w:hAnsi="Times New Roman"/>
                <w:color w:val="000000" w:themeColor="text1"/>
                <w:sz w:val="24"/>
                <w:szCs w:val="24"/>
                <w:highlight w:val="yellow"/>
              </w:rPr>
              <w:t xml:space="preserve"> причинения вреда жизни или здоровью граждан, имуществу физических и юридических лиц при эксплуатации маломерных судов, а также риски совершения административных правонарушений со стороны лиц, эксплуатирующих маломерные суда.</w:t>
            </w:r>
          </w:p>
          <w:p>
            <w:pPr>
              <w:spacing w:after="0" w:line="240" w:lineRule="auto"/>
              <w:jc w:val="both"/>
              <w:rPr>
                <w:rFonts w:ascii="Times New Roman" w:hAnsi="Times New Roman"/>
                <w:color w:val="000000" w:themeColor="text1"/>
                <w:sz w:val="24"/>
                <w:szCs w:val="24"/>
              </w:rPr>
            </w:pPr>
          </w:p>
        </w:tc>
      </w:tr>
      <w:tr>
        <w:tc>
          <w:tcPr>
            <w:tcW w:w="658" w:type="dxa"/>
            <w:tcBorders>
              <w:top w:val="single" w:sz="4" w:space="0" w:color="auto"/>
              <w:bottom w:val="single" w:sz="4" w:space="0" w:color="auto"/>
            </w:tcBorders>
            <w:shd w:val="clear" w:color="auto" w:fill="auto"/>
          </w:tcPr>
          <w:p>
            <w:pPr>
              <w:spacing w:line="240" w:lineRule="auto"/>
              <w:jc w:val="center"/>
              <w:rPr>
                <w:rFonts w:ascii="Times New Roman" w:hAnsi="Times New Roman"/>
                <w:sz w:val="24"/>
                <w:szCs w:val="24"/>
              </w:rPr>
            </w:pPr>
            <w:r>
              <w:rPr>
                <w:rFonts w:ascii="Times New Roman" w:hAnsi="Times New Roman"/>
                <w:sz w:val="24"/>
                <w:szCs w:val="24"/>
              </w:rPr>
              <w:lastRenderedPageBreak/>
              <w:t>3.3.</w:t>
            </w:r>
          </w:p>
        </w:tc>
        <w:tc>
          <w:tcPr>
            <w:tcW w:w="9235" w:type="dxa"/>
            <w:gridSpan w:val="26"/>
            <w:tcBorders>
              <w:top w:val="single" w:sz="4" w:space="0" w:color="auto"/>
              <w:bottom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Источники использованных данных:</w:t>
            </w:r>
          </w:p>
          <w:p>
            <w:pPr>
              <w:spacing w:after="0" w:line="240" w:lineRule="auto"/>
              <w:jc w:val="both"/>
              <w:rPr>
                <w:rFonts w:ascii="Times New Roman" w:hAnsi="Times New Roman"/>
                <w:color w:val="FF0000"/>
                <w:sz w:val="24"/>
                <w:szCs w:val="24"/>
              </w:rPr>
            </w:pPr>
            <w:r>
              <w:rPr>
                <w:rFonts w:ascii="Times New Roman" w:hAnsi="Times New Roman"/>
                <w:color w:val="000000" w:themeColor="text1"/>
                <w:sz w:val="24"/>
                <w:szCs w:val="24"/>
                <w:highlight w:val="white"/>
              </w:rPr>
              <w:t>Федеральный закон от 03.02.2025 № 4-ФЗ «</w:t>
            </w:r>
            <w:r>
              <w:rPr>
                <w:rFonts w:ascii="Times New Roman" w:hAnsi="Times New Roman"/>
                <w:color w:val="000000" w:themeColor="text1"/>
                <w:spacing w:val="-4"/>
                <w:sz w:val="24"/>
                <w:szCs w:val="24"/>
                <w:highlight w:val="white"/>
              </w:rPr>
              <w:t>О безопасности людей на водных объектах</w:t>
            </w:r>
            <w:r>
              <w:rPr>
                <w:rFonts w:ascii="Times New Roman" w:hAnsi="Times New Roman"/>
                <w:color w:val="000000" w:themeColor="text1"/>
                <w:sz w:val="24"/>
                <w:szCs w:val="24"/>
                <w:highlight w:val="white"/>
              </w:rPr>
              <w:t>»;</w:t>
            </w:r>
          </w:p>
        </w:tc>
      </w:tr>
      <w:tr>
        <w:tc>
          <w:tcPr>
            <w:tcW w:w="658" w:type="dxa"/>
            <w:tcBorders>
              <w:top w:val="single" w:sz="4" w:space="0" w:color="auto"/>
              <w:left w:val="none" w:sz="4" w:space="0" w:color="000000"/>
              <w:bottom w:val="single" w:sz="4" w:space="0" w:color="auto"/>
              <w:right w:val="none" w:sz="4" w:space="0" w:color="000000"/>
            </w:tcBorders>
            <w:shd w:val="clear" w:color="auto" w:fill="auto"/>
          </w:tcPr>
          <w:p>
            <w:pPr>
              <w:spacing w:line="240" w:lineRule="auto"/>
              <w:jc w:val="center"/>
              <w:rPr>
                <w:rFonts w:ascii="Times New Roman" w:hAnsi="Times New Roman"/>
                <w:sz w:val="24"/>
                <w:szCs w:val="24"/>
              </w:rPr>
            </w:pPr>
          </w:p>
        </w:tc>
        <w:tc>
          <w:tcPr>
            <w:tcW w:w="9235" w:type="dxa"/>
            <w:gridSpan w:val="26"/>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Анализ опыта субъектов Российской Федерации в соответствующих сферах деятельности**</w:t>
            </w:r>
          </w:p>
          <w:p>
            <w:pPr>
              <w:spacing w:after="0" w:line="240" w:lineRule="auto"/>
              <w:ind w:left="360"/>
              <w:rPr>
                <w:rFonts w:ascii="Times New Roman" w:hAnsi="Times New Roman"/>
                <w:sz w:val="16"/>
                <w:szCs w:val="16"/>
              </w:rPr>
            </w:pPr>
          </w:p>
        </w:tc>
      </w:tr>
      <w:tr>
        <w:tc>
          <w:tcPr>
            <w:tcW w:w="658" w:type="dxa"/>
            <w:tcBorders>
              <w:top w:val="single" w:sz="4" w:space="0" w:color="auto"/>
              <w:left w:val="single" w:sz="4" w:space="0" w:color="auto"/>
              <w:bottom w:val="single" w:sz="4" w:space="0" w:color="auto"/>
              <w:right w:val="single" w:sz="4" w:space="0" w:color="auto"/>
            </w:tcBorders>
            <w:shd w:val="clear" w:color="auto" w:fill="auto"/>
          </w:tcPr>
          <w:p>
            <w:pPr>
              <w:spacing w:line="240" w:lineRule="auto"/>
              <w:jc w:val="center"/>
              <w:rPr>
                <w:rFonts w:ascii="Times New Roman" w:hAnsi="Times New Roman"/>
                <w:sz w:val="24"/>
                <w:szCs w:val="24"/>
              </w:rPr>
            </w:pPr>
            <w:r>
              <w:rPr>
                <w:rFonts w:ascii="Times New Roman" w:hAnsi="Times New Roman"/>
                <w:sz w:val="24"/>
                <w:szCs w:val="24"/>
              </w:rPr>
              <w:t>4.1.</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Анализ опыта субъектов Российской Федерации в соответствующих сферах деятельности:</w:t>
            </w:r>
          </w:p>
          <w:p>
            <w:pPr>
              <w:spacing w:after="0" w:line="240" w:lineRule="auto"/>
              <w:jc w:val="both"/>
              <w:rPr>
                <w:rFonts w:ascii="Times New Roman" w:hAnsi="Times New Roman"/>
                <w:sz w:val="24"/>
                <w:szCs w:val="24"/>
              </w:rPr>
            </w:pPr>
            <w:r>
              <w:rPr>
                <w:rFonts w:ascii="Times New Roman" w:hAnsi="Times New Roman"/>
                <w:sz w:val="24"/>
                <w:szCs w:val="24"/>
              </w:rPr>
              <w:t>Постановление Правительства Ростовской области от 20.08.2025 № 601 «Об утверждении Правил пользования маломерными судами на водных объектах на территории Ростовской области;</w:t>
            </w:r>
          </w:p>
          <w:p>
            <w:pPr>
              <w:spacing w:after="0" w:line="240" w:lineRule="auto"/>
              <w:jc w:val="both"/>
              <w:rPr>
                <w:rFonts w:ascii="Times New Roman" w:hAnsi="Times New Roman"/>
                <w:sz w:val="24"/>
                <w:szCs w:val="24"/>
              </w:rPr>
            </w:pPr>
            <w:r>
              <w:rPr>
                <w:rFonts w:ascii="Times New Roman" w:hAnsi="Times New Roman"/>
                <w:sz w:val="24"/>
                <w:szCs w:val="24"/>
              </w:rPr>
              <w:t>Постановление Правительства Санкт-Петербурга от 27.11.2025 № 880 «Об утверждении Правил пользования маломерными судами на водных объектах на территории Санкт-Петербурга»;</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___________________________________________________________________________</w:t>
            </w:r>
          </w:p>
          <w:p>
            <w:pPr>
              <w:spacing w:after="0" w:line="240" w:lineRule="auto"/>
              <w:jc w:val="center"/>
              <w:rPr>
                <w:rFonts w:ascii="Times New Roman" w:hAnsi="Times New Roman"/>
                <w:sz w:val="24"/>
                <w:szCs w:val="24"/>
              </w:rPr>
            </w:pPr>
            <w:r>
              <w:rPr>
                <w:rFonts w:ascii="Times New Roman" w:hAnsi="Times New Roman"/>
                <w:sz w:val="20"/>
                <w:szCs w:val="24"/>
              </w:rPr>
              <w:t>(место для текстового описания)</w:t>
            </w:r>
          </w:p>
        </w:tc>
      </w:tr>
      <w:tr>
        <w:tc>
          <w:tcPr>
            <w:tcW w:w="658" w:type="dxa"/>
            <w:tcBorders>
              <w:top w:val="single" w:sz="4" w:space="0" w:color="auto"/>
              <w:left w:val="single" w:sz="4" w:space="0" w:color="auto"/>
              <w:bottom w:val="single" w:sz="4" w:space="0" w:color="auto"/>
              <w:right w:val="single" w:sz="4" w:space="0" w:color="auto"/>
            </w:tcBorders>
            <w:shd w:val="clear" w:color="auto" w:fill="auto"/>
          </w:tcPr>
          <w:p>
            <w:pPr>
              <w:spacing w:line="240" w:lineRule="auto"/>
              <w:jc w:val="center"/>
              <w:rPr>
                <w:rFonts w:ascii="Times New Roman" w:hAnsi="Times New Roman"/>
                <w:sz w:val="24"/>
                <w:szCs w:val="24"/>
              </w:rPr>
            </w:pPr>
            <w:r>
              <w:rPr>
                <w:rFonts w:ascii="Times New Roman" w:hAnsi="Times New Roman"/>
                <w:sz w:val="24"/>
                <w:szCs w:val="24"/>
              </w:rPr>
              <w:t>4.2.</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pPr>
            <w:r>
              <w:rPr>
                <w:rFonts w:ascii="Times New Roman" w:hAnsi="Times New Roman"/>
                <w:sz w:val="24"/>
                <w:szCs w:val="24"/>
              </w:rPr>
              <w:t>Источники использованных данных:</w:t>
            </w:r>
            <w:r>
              <w:t xml:space="preserve"> </w:t>
            </w:r>
          </w:p>
          <w:p>
            <w:pPr>
              <w:spacing w:after="0" w:line="240" w:lineRule="auto"/>
              <w:jc w:val="center"/>
              <w:rPr>
                <w:rFonts w:ascii="Times New Roman" w:hAnsi="Times New Roman"/>
                <w:sz w:val="24"/>
                <w:szCs w:val="24"/>
              </w:rPr>
            </w:pPr>
            <w:r>
              <w:rPr>
                <w:rFonts w:ascii="Times New Roman" w:hAnsi="Times New Roman"/>
                <w:sz w:val="24"/>
                <w:szCs w:val="24"/>
                <w:u w:val="single"/>
              </w:rPr>
              <w:t>Справочно-правовая система «Консультант плюс»</w:t>
            </w:r>
            <w:r>
              <w:rPr>
                <w:rFonts w:ascii="Times New Roman" w:hAnsi="Times New Roman"/>
                <w:sz w:val="24"/>
                <w:szCs w:val="24"/>
              </w:rPr>
              <w:t xml:space="preserve"> </w:t>
            </w:r>
            <w:r>
              <w:rPr>
                <w:rFonts w:ascii="Times New Roman" w:hAnsi="Times New Roman"/>
                <w:sz w:val="20"/>
                <w:szCs w:val="24"/>
              </w:rPr>
              <w:t>(место для текстового описания)</w:t>
            </w:r>
          </w:p>
        </w:tc>
      </w:tr>
      <w:tr>
        <w:tc>
          <w:tcPr>
            <w:tcW w:w="658" w:type="dxa"/>
            <w:tcBorders>
              <w:top w:val="single" w:sz="4" w:space="0" w:color="auto"/>
              <w:left w:val="none" w:sz="4" w:space="0" w:color="000000"/>
              <w:bottom w:val="none" w:sz="4" w:space="0" w:color="000000"/>
              <w:right w:val="none" w:sz="4" w:space="0" w:color="000000"/>
            </w:tcBorders>
            <w:shd w:val="clear" w:color="auto" w:fill="auto"/>
          </w:tcPr>
          <w:p>
            <w:pPr>
              <w:spacing w:line="240" w:lineRule="auto"/>
              <w:jc w:val="center"/>
              <w:rPr>
                <w:rFonts w:ascii="Times New Roman" w:hAnsi="Times New Roman"/>
                <w:sz w:val="24"/>
                <w:szCs w:val="24"/>
              </w:rPr>
            </w:pPr>
            <w:r>
              <w:rPr>
                <w:rFonts w:ascii="Times New Roman" w:hAnsi="Times New Roman"/>
                <w:sz w:val="24"/>
                <w:szCs w:val="24"/>
              </w:rPr>
              <w:t xml:space="preserve">  </w:t>
            </w:r>
          </w:p>
          <w:p>
            <w:pPr>
              <w:spacing w:line="240" w:lineRule="auto"/>
              <w:jc w:val="center"/>
              <w:rPr>
                <w:rFonts w:ascii="Times New Roman" w:hAnsi="Times New Roman"/>
                <w:sz w:val="24"/>
                <w:szCs w:val="24"/>
              </w:rPr>
            </w:pPr>
            <w:r>
              <w:rPr>
                <w:rFonts w:ascii="Times New Roman" w:hAnsi="Times New Roman"/>
                <w:sz w:val="24"/>
                <w:szCs w:val="24"/>
              </w:rPr>
              <w:t xml:space="preserve">     </w:t>
            </w:r>
          </w:p>
        </w:tc>
        <w:tc>
          <w:tcPr>
            <w:tcW w:w="9235" w:type="dxa"/>
            <w:gridSpan w:val="26"/>
            <w:tcBorders>
              <w:top w:val="single" w:sz="4" w:space="0" w:color="auto"/>
              <w:left w:val="none" w:sz="4" w:space="0" w:color="000000"/>
              <w:bottom w:val="none" w:sz="4" w:space="0" w:color="000000"/>
              <w:right w:val="none" w:sz="4" w:space="0" w:color="000000"/>
            </w:tcBorders>
            <w:shd w:val="clear" w:color="auto" w:fill="auto"/>
          </w:tcPr>
          <w:p>
            <w:pPr>
              <w:spacing w:after="0" w:line="240" w:lineRule="auto"/>
              <w:ind w:left="357"/>
              <w:rPr>
                <w:rFonts w:ascii="Times New Roman" w:hAnsi="Times New Roman"/>
                <w:sz w:val="16"/>
                <w:szCs w:val="16"/>
              </w:rPr>
            </w:pPr>
          </w:p>
          <w:p>
            <w:pPr>
              <w:numPr>
                <w:ilvl w:val="0"/>
                <w:numId w:val="1"/>
              </w:numPr>
              <w:spacing w:after="0" w:line="240" w:lineRule="auto"/>
              <w:ind w:left="357" w:firstLine="0"/>
              <w:jc w:val="center"/>
              <w:rPr>
                <w:rFonts w:ascii="Times New Roman" w:hAnsi="Times New Roman"/>
                <w:b/>
                <w:sz w:val="24"/>
                <w:szCs w:val="24"/>
              </w:rPr>
            </w:pPr>
            <w:r>
              <w:rPr>
                <w:rFonts w:ascii="Times New Roman" w:hAnsi="Times New Roman"/>
                <w:b/>
                <w:sz w:val="24"/>
                <w:szCs w:val="24"/>
              </w:rPr>
              <w:t xml:space="preserve">Цели предлагаемого регулирования, ключевые показатели достижения целей предлагаемого регулирования, сроки их достижения </w:t>
            </w:r>
          </w:p>
          <w:p>
            <w:pPr>
              <w:spacing w:after="0" w:line="240" w:lineRule="auto"/>
              <w:ind w:left="357"/>
              <w:rPr>
                <w:rFonts w:ascii="Times New Roman" w:hAnsi="Times New Roman"/>
                <w:sz w:val="16"/>
                <w:szCs w:val="16"/>
              </w:rPr>
            </w:pPr>
          </w:p>
        </w:tc>
      </w:tr>
      <w:tr>
        <w:trPr>
          <w:trHeight w:val="1402"/>
        </w:trPr>
        <w:tc>
          <w:tcPr>
            <w:tcW w:w="3369" w:type="dxa"/>
            <w:gridSpan w:val="10"/>
            <w:vMerge w:val="restart"/>
            <w:tcBorders>
              <w:top w:val="single" w:sz="4" w:space="0" w:color="auto"/>
              <w:left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5.1. Цели предлагаемого регулирования</w:t>
            </w:r>
          </w:p>
        </w:tc>
        <w:tc>
          <w:tcPr>
            <w:tcW w:w="1984" w:type="dxa"/>
            <w:gridSpan w:val="7"/>
            <w:vMerge w:val="restart"/>
            <w:tcBorders>
              <w:top w:val="single" w:sz="4" w:space="0" w:color="auto"/>
              <w:left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5.2 Ключевые показатели (цифровое выражение целей правового регулирования)*</w:t>
            </w:r>
          </w:p>
        </w:tc>
        <w:tc>
          <w:tcPr>
            <w:tcW w:w="1701" w:type="dxa"/>
            <w:gridSpan w:val="7"/>
            <w:vMerge w:val="restart"/>
            <w:tcBorders>
              <w:top w:val="single" w:sz="4" w:space="0" w:color="auto"/>
              <w:left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5.3. Сроки достижения ключевых показателей*</w:t>
            </w:r>
          </w:p>
        </w:tc>
        <w:tc>
          <w:tcPr>
            <w:tcW w:w="2839" w:type="dxa"/>
            <w:gridSpan w:val="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5.4 Значения ключевых показателей*</w:t>
            </w:r>
          </w:p>
          <w:p>
            <w:pPr>
              <w:spacing w:after="0" w:line="240" w:lineRule="auto"/>
              <w:rPr>
                <w:rFonts w:ascii="Times New Roman" w:hAnsi="Times New Roman"/>
                <w:sz w:val="24"/>
                <w:szCs w:val="24"/>
              </w:rPr>
            </w:pPr>
          </w:p>
        </w:tc>
      </w:tr>
      <w:tr>
        <w:trPr>
          <w:trHeight w:val="263"/>
        </w:trPr>
        <w:tc>
          <w:tcPr>
            <w:tcW w:w="3369" w:type="dxa"/>
            <w:gridSpan w:val="10"/>
            <w:vMerge/>
            <w:tcBorders>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1984" w:type="dxa"/>
            <w:gridSpan w:val="7"/>
            <w:vMerge/>
            <w:tcBorders>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1701" w:type="dxa"/>
            <w:gridSpan w:val="7"/>
            <w:vMerge/>
            <w:tcBorders>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Актуальное значение</w:t>
            </w:r>
          </w:p>
        </w:tc>
        <w:tc>
          <w:tcPr>
            <w:tcW w:w="1280"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roofErr w:type="spellStart"/>
            <w:r>
              <w:rPr>
                <w:rFonts w:ascii="Times New Roman" w:hAnsi="Times New Roman"/>
                <w:sz w:val="24"/>
                <w:szCs w:val="24"/>
              </w:rPr>
              <w:t>Прогнози-руемое</w:t>
            </w:r>
            <w:proofErr w:type="spellEnd"/>
            <w:r>
              <w:rPr>
                <w:rFonts w:ascii="Times New Roman" w:hAnsi="Times New Roman"/>
                <w:sz w:val="24"/>
                <w:szCs w:val="24"/>
              </w:rPr>
              <w:t xml:space="preserve"> значение</w:t>
            </w:r>
          </w:p>
        </w:tc>
      </w:tr>
      <w:tr>
        <w:tc>
          <w:tcPr>
            <w:tcW w:w="3369" w:type="dxa"/>
            <w:gridSpan w:val="10"/>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Приведение нормативного акта в соответствии с действующим законодательством Российской Федерации</w:t>
            </w:r>
          </w:p>
        </w:tc>
        <w:tc>
          <w:tcPr>
            <w:tcW w:w="1984" w:type="dxa"/>
            <w:gridSpan w:val="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r>
      <w:tr>
        <w:tc>
          <w:tcPr>
            <w:tcW w:w="3369" w:type="dxa"/>
            <w:gridSpan w:val="10"/>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(Цель №)</w:t>
            </w:r>
          </w:p>
        </w:tc>
        <w:tc>
          <w:tcPr>
            <w:tcW w:w="1984" w:type="dxa"/>
            <w:gridSpan w:val="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r>
      <w:tr>
        <w:tc>
          <w:tcPr>
            <w:tcW w:w="658"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5.5.</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Обоснование соответствия целей предлагаемого регулирования принципам правового регулирования, программным документам, федеральному законодательству и законодательству Республики Хакасия:</w:t>
            </w:r>
          </w:p>
          <w:p>
            <w:pPr>
              <w:spacing w:after="0" w:line="240" w:lineRule="auto"/>
              <w:jc w:val="both"/>
              <w:rPr>
                <w:rFonts w:ascii="Times New Roman" w:hAnsi="Times New Roman"/>
                <w:bCs/>
                <w:sz w:val="24"/>
                <w:szCs w:val="24"/>
                <w:lang w:eastAsia="zh-CN"/>
              </w:rPr>
            </w:pPr>
            <w:r>
              <w:rPr>
                <w:rFonts w:ascii="Times New Roman" w:hAnsi="Times New Roman"/>
                <w:sz w:val="24"/>
                <w:szCs w:val="24"/>
                <w:highlight w:val="white"/>
              </w:rPr>
              <w:t>Проект постановления Правительства Республики Хакасия «</w:t>
            </w:r>
            <w:r>
              <w:rPr>
                <w:rFonts w:ascii="Times New Roman" w:hAnsi="Times New Roman"/>
                <w:bCs/>
                <w:sz w:val="24"/>
                <w:szCs w:val="24"/>
                <w:lang w:eastAsia="zh-CN"/>
              </w:rPr>
              <w:t xml:space="preserve">Об утверждении Правил пользования маломерными судами на водных объектах на территории Республики </w:t>
            </w:r>
            <w:r>
              <w:rPr>
                <w:rFonts w:ascii="Times New Roman" w:hAnsi="Times New Roman"/>
                <w:bCs/>
                <w:sz w:val="24"/>
                <w:szCs w:val="24"/>
                <w:lang w:eastAsia="zh-CN"/>
              </w:rPr>
              <w:lastRenderedPageBreak/>
              <w:t>Хакасия и признании утратившими силу некоторых постановлений Правительства Республики Хакасия и отдельных положений постановлений Правительства Республики Хакасия</w:t>
            </w:r>
            <w:r>
              <w:rPr>
                <w:rFonts w:ascii="Times New Roman" w:hAnsi="Times New Roman"/>
                <w:sz w:val="24"/>
                <w:szCs w:val="24"/>
              </w:rPr>
              <w:t xml:space="preserve">» </w:t>
            </w:r>
            <w:r>
              <w:rPr>
                <w:rFonts w:ascii="Times New Roman" w:hAnsi="Times New Roman"/>
                <w:sz w:val="24"/>
                <w:szCs w:val="24"/>
                <w:highlight w:val="white"/>
                <w:lang w:eastAsia="zh-CN"/>
              </w:rPr>
              <w:t>подготовлен</w:t>
            </w:r>
            <w:r>
              <w:rPr>
                <w:rFonts w:ascii="Times New Roman" w:hAnsi="Times New Roman"/>
                <w:sz w:val="24"/>
                <w:szCs w:val="24"/>
                <w:lang w:eastAsia="zh-CN"/>
              </w:rPr>
              <w:t xml:space="preserve"> в соответствии с частью 1 статьи 17 Федерального закона от 03.02.2025 № 4-ФЗ «О безопасности людей на водных объектах», регулирующий отношения в области обеспечения безопасности людей на водных объектах и прилегающих к ним территориях, которой установлено, что в целях обеспечения безопасности людей на водных объектах органами государственной власти субъекта Российской Федерации утверждаются правила пользования маломерными судами на водных объектах на территории субъекта Российской Федерации. </w:t>
            </w:r>
          </w:p>
        </w:tc>
      </w:tr>
      <w:tr>
        <w:tc>
          <w:tcPr>
            <w:tcW w:w="658"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lastRenderedPageBreak/>
              <w:t>5.6.</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Источники использованных данных:</w:t>
            </w:r>
          </w:p>
          <w:p>
            <w:pPr>
              <w:spacing w:after="0" w:line="240" w:lineRule="auto"/>
              <w:jc w:val="both"/>
              <w:rPr>
                <w:rFonts w:ascii="Times New Roman" w:hAnsi="Times New Roman"/>
                <w:sz w:val="24"/>
                <w:szCs w:val="24"/>
              </w:rPr>
            </w:pPr>
            <w:r>
              <w:rPr>
                <w:rFonts w:ascii="Times New Roman" w:hAnsi="Times New Roman"/>
                <w:sz w:val="24"/>
                <w:szCs w:val="24"/>
                <w:u w:val="single"/>
              </w:rPr>
              <w:t xml:space="preserve">Справочно-правовая система «Консультант </w:t>
            </w:r>
            <w:proofErr w:type="gramStart"/>
            <w:r>
              <w:rPr>
                <w:rFonts w:ascii="Times New Roman" w:hAnsi="Times New Roman"/>
                <w:sz w:val="24"/>
                <w:szCs w:val="24"/>
                <w:u w:val="single"/>
              </w:rPr>
              <w:t>плюс»</w:t>
            </w:r>
            <w:r>
              <w:rPr>
                <w:rFonts w:ascii="Times New Roman" w:hAnsi="Times New Roman"/>
                <w:sz w:val="24"/>
                <w:szCs w:val="24"/>
              </w:rPr>
              <w:t>_</w:t>
            </w:r>
            <w:proofErr w:type="gramEnd"/>
            <w:r>
              <w:rPr>
                <w:rFonts w:ascii="Times New Roman" w:hAnsi="Times New Roman"/>
                <w:sz w:val="24"/>
                <w:szCs w:val="24"/>
              </w:rPr>
              <w:t>_________________________</w:t>
            </w:r>
          </w:p>
          <w:p>
            <w:pPr>
              <w:spacing w:after="0" w:line="240" w:lineRule="auto"/>
              <w:jc w:val="center"/>
              <w:rPr>
                <w:rFonts w:ascii="Times New Roman" w:hAnsi="Times New Roman"/>
                <w:sz w:val="24"/>
                <w:szCs w:val="24"/>
              </w:rPr>
            </w:pPr>
            <w:r>
              <w:rPr>
                <w:rFonts w:ascii="Times New Roman" w:hAnsi="Times New Roman"/>
                <w:sz w:val="20"/>
                <w:szCs w:val="24"/>
              </w:rPr>
              <w:t>(место для текстового описания)</w:t>
            </w:r>
          </w:p>
        </w:tc>
      </w:tr>
      <w:tr>
        <w:tc>
          <w:tcPr>
            <w:tcW w:w="658" w:type="dxa"/>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rPr>
                <w:rFonts w:ascii="Times New Roman" w:hAnsi="Times New Roman"/>
                <w:sz w:val="24"/>
                <w:szCs w:val="24"/>
              </w:rPr>
            </w:pPr>
          </w:p>
        </w:tc>
        <w:tc>
          <w:tcPr>
            <w:tcW w:w="9235" w:type="dxa"/>
            <w:gridSpan w:val="26"/>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Описание предлагаемого регулирования, иных возможных способов решения проблемы и обоснование выбора предлагаемого способа решения проблемы</w:t>
            </w:r>
          </w:p>
          <w:p>
            <w:pPr>
              <w:spacing w:after="0" w:line="240" w:lineRule="auto"/>
              <w:ind w:left="360"/>
              <w:rPr>
                <w:rFonts w:ascii="Times New Roman" w:hAnsi="Times New Roman"/>
                <w:sz w:val="16"/>
                <w:szCs w:val="16"/>
              </w:rPr>
            </w:pPr>
          </w:p>
        </w:tc>
      </w:tr>
      <w:tr>
        <w:tc>
          <w:tcPr>
            <w:tcW w:w="658"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6.1.</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Описание предлагаемого способа решения проблемы и преодоления связанных с ней негативных эффектов:</w:t>
            </w:r>
          </w:p>
          <w:p>
            <w:pPr>
              <w:spacing w:after="0" w:line="240" w:lineRule="auto"/>
              <w:jc w:val="both"/>
              <w:rPr>
                <w:rFonts w:ascii="Times New Roman" w:hAnsi="Times New Roman"/>
                <w:color w:val="000000" w:themeColor="text1"/>
                <w:sz w:val="24"/>
                <w:szCs w:val="24"/>
                <w:lang w:eastAsia="zh-CN"/>
              </w:rPr>
            </w:pPr>
            <w:r>
              <w:rPr>
                <w:rFonts w:ascii="Times New Roman" w:hAnsi="Times New Roman"/>
                <w:color w:val="000000" w:themeColor="text1"/>
                <w:sz w:val="24"/>
                <w:szCs w:val="24"/>
                <w:lang w:eastAsia="zh-CN"/>
              </w:rPr>
              <w:t>Предлагаемый способ решения проблемы заключается в принятии нового постановления Правительства Республики Хакасия, которое:</w:t>
            </w:r>
          </w:p>
          <w:p>
            <w:pPr>
              <w:spacing w:after="0" w:line="240" w:lineRule="auto"/>
              <w:jc w:val="both"/>
              <w:rPr>
                <w:rFonts w:ascii="Times New Roman" w:hAnsi="Times New Roman"/>
                <w:color w:val="000000" w:themeColor="text1"/>
                <w:sz w:val="24"/>
                <w:szCs w:val="24"/>
                <w:lang w:eastAsia="zh-CN"/>
              </w:rPr>
            </w:pPr>
            <w:r>
              <w:rPr>
                <w:rFonts w:ascii="Times New Roman" w:hAnsi="Times New Roman"/>
                <w:color w:val="000000" w:themeColor="text1"/>
                <w:sz w:val="24"/>
                <w:szCs w:val="24"/>
                <w:lang w:eastAsia="zh-CN"/>
              </w:rPr>
              <w:t xml:space="preserve">      признает утратившим силу действующее постановление от 27.06.2007 № 199 в связи с его несоответствием федеральному законодательству;</w:t>
            </w:r>
          </w:p>
          <w:p>
            <w:pPr>
              <w:spacing w:after="0" w:line="240" w:lineRule="auto"/>
              <w:jc w:val="both"/>
              <w:rPr>
                <w:rFonts w:ascii="Times New Roman" w:hAnsi="Times New Roman"/>
                <w:color w:val="000000" w:themeColor="text1"/>
                <w:sz w:val="24"/>
                <w:szCs w:val="24"/>
                <w:lang w:eastAsia="zh-CN"/>
              </w:rPr>
            </w:pPr>
            <w:r>
              <w:rPr>
                <w:rFonts w:ascii="Times New Roman" w:hAnsi="Times New Roman"/>
                <w:color w:val="000000" w:themeColor="text1"/>
                <w:sz w:val="24"/>
                <w:szCs w:val="24"/>
                <w:lang w:eastAsia="zh-CN"/>
              </w:rPr>
              <w:t xml:space="preserve">      утверждает новые Правила пользования маломерными судами на водных объектах на территории Республики Хакасия, разработанные в соответствии с Федеральным законом от 03.02.2025 № 4-ФЗ и приказом МЧС России от 22.07.2025 № 636.</w:t>
            </w:r>
          </w:p>
          <w:p>
            <w:pPr>
              <w:spacing w:after="0" w:line="240" w:lineRule="auto"/>
              <w:jc w:val="both"/>
              <w:rPr>
                <w:rFonts w:ascii="Times New Roman" w:hAnsi="Times New Roman"/>
                <w:color w:val="000000" w:themeColor="text1"/>
                <w:sz w:val="24"/>
                <w:szCs w:val="24"/>
                <w:lang w:eastAsia="zh-CN"/>
              </w:rPr>
            </w:pPr>
            <w:r>
              <w:rPr>
                <w:rFonts w:ascii="Times New Roman" w:hAnsi="Times New Roman"/>
                <w:color w:val="000000" w:themeColor="text1"/>
                <w:sz w:val="24"/>
                <w:szCs w:val="24"/>
                <w:lang w:eastAsia="zh-CN"/>
              </w:rPr>
              <w:t xml:space="preserve">       Новые Правила устанавливают актуализированные требования безопасности, включая ограничения скорости, правила маневрирования, меры безопасности при проведении рекреационных мероприятий и запреты в период нереста.</w:t>
            </w:r>
          </w:p>
          <w:p>
            <w:pPr>
              <w:spacing w:after="0" w:line="240" w:lineRule="auto"/>
              <w:jc w:val="both"/>
              <w:rPr>
                <w:rFonts w:ascii="Times New Roman" w:hAnsi="Times New Roman"/>
                <w:color w:val="000000" w:themeColor="text1"/>
                <w:sz w:val="24"/>
                <w:szCs w:val="24"/>
                <w:lang w:eastAsia="zh-CN"/>
              </w:rPr>
            </w:pPr>
            <w:r>
              <w:rPr>
                <w:rFonts w:ascii="Times New Roman" w:hAnsi="Times New Roman"/>
                <w:color w:val="000000" w:themeColor="text1"/>
                <w:sz w:val="24"/>
                <w:szCs w:val="24"/>
                <w:lang w:eastAsia="zh-CN"/>
              </w:rPr>
              <w:t xml:space="preserve">        Реализация регулирования не требует дополнительных расходов республиканского бюджета Республики Хакасия и позволит устранить правовую неопределенность, обеспечить безопасность людей на водных объектах и снизить риски административных правонарушений.</w:t>
            </w:r>
          </w:p>
          <w:p>
            <w:pPr>
              <w:spacing w:after="0" w:line="240" w:lineRule="auto"/>
              <w:jc w:val="both"/>
              <w:rPr>
                <w:rFonts w:ascii="Times New Roman" w:hAnsi="Times New Roman"/>
                <w:strike/>
                <w:sz w:val="24"/>
                <w:szCs w:val="24"/>
                <w:highlight w:val="yellow"/>
              </w:rPr>
            </w:pPr>
          </w:p>
        </w:tc>
      </w:tr>
      <w:tr>
        <w:tc>
          <w:tcPr>
            <w:tcW w:w="658"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6.2.</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Описание иных способов решения проблемы (с указанием того, каким образом каждым из способов могла бы быть решена проблема, в том числе без введения нового регулирования)</w:t>
            </w:r>
          </w:p>
          <w:p>
            <w:pPr>
              <w:spacing w:after="0" w:line="240" w:lineRule="auto"/>
              <w:rPr>
                <w:rFonts w:ascii="Times New Roman" w:hAnsi="Times New Roman"/>
                <w:color w:val="FF0000"/>
                <w:sz w:val="24"/>
                <w:szCs w:val="24"/>
                <w:highlight w:val="white"/>
              </w:rPr>
            </w:pPr>
            <w:r>
              <w:rPr>
                <w:rFonts w:ascii="Times New Roman" w:hAnsi="Times New Roman"/>
                <w:color w:val="000000" w:themeColor="text1"/>
                <w:sz w:val="24"/>
                <w:szCs w:val="24"/>
                <w:highlight w:val="white"/>
              </w:rPr>
              <w:t>Иные возможные способы решения поставленных проблем не выявлены.</w:t>
            </w:r>
          </w:p>
        </w:tc>
      </w:tr>
      <w:tr>
        <w:tc>
          <w:tcPr>
            <w:tcW w:w="658"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6.3.</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Обоснование выбора предлагаемого способа решения проблемы:</w:t>
            </w:r>
          </w:p>
          <w:p>
            <w:pPr>
              <w:spacing w:after="0" w:line="240" w:lineRule="auto"/>
              <w:jc w:val="both"/>
              <w:rPr>
                <w:rFonts w:ascii="Times New Roman" w:hAnsi="Times New Roman"/>
                <w:sz w:val="24"/>
                <w:szCs w:val="24"/>
              </w:rPr>
            </w:pPr>
            <w:r>
              <w:rPr>
                <w:rFonts w:ascii="Times New Roman" w:hAnsi="Times New Roman"/>
                <w:sz w:val="24"/>
                <w:szCs w:val="24"/>
              </w:rPr>
              <w:t>Предлагаемый способ является единственно возможным в силу следующих обстоятельств:</w:t>
            </w:r>
          </w:p>
          <w:p>
            <w:pPr>
              <w:numPr>
                <w:ilvl w:val="0"/>
                <w:numId w:val="37"/>
              </w:numPr>
              <w:spacing w:after="0" w:line="240" w:lineRule="auto"/>
              <w:jc w:val="both"/>
              <w:rPr>
                <w:rFonts w:ascii="Times New Roman" w:hAnsi="Times New Roman"/>
                <w:sz w:val="24"/>
                <w:szCs w:val="24"/>
              </w:rPr>
            </w:pPr>
            <w:r>
              <w:rPr>
                <w:rFonts w:ascii="Times New Roman" w:hAnsi="Times New Roman"/>
                <w:bCs/>
                <w:sz w:val="24"/>
                <w:szCs w:val="24"/>
              </w:rPr>
              <w:t>Императивное требование федерального закона</w:t>
            </w:r>
            <w:r>
              <w:rPr>
                <w:rFonts w:ascii="Times New Roman" w:hAnsi="Times New Roman"/>
                <w:sz w:val="24"/>
                <w:szCs w:val="24"/>
              </w:rPr>
              <w:t> – часть 1 и 3 статьи 17 Федерального закона от 03.02.2025 № 4-ФЗ прямо обязывают высший исполнительный орган субъекта утвердить правила пользования маломерными судами. Непринятие акта является нарушением федерального законодательства.</w:t>
            </w:r>
          </w:p>
          <w:p>
            <w:pPr>
              <w:numPr>
                <w:ilvl w:val="0"/>
                <w:numId w:val="37"/>
              </w:numPr>
              <w:spacing w:after="0" w:line="240" w:lineRule="auto"/>
              <w:jc w:val="both"/>
              <w:rPr>
                <w:rFonts w:ascii="Times New Roman" w:hAnsi="Times New Roman"/>
                <w:sz w:val="24"/>
                <w:szCs w:val="24"/>
              </w:rPr>
            </w:pPr>
            <w:r>
              <w:rPr>
                <w:rFonts w:ascii="Times New Roman" w:hAnsi="Times New Roman"/>
                <w:bCs/>
                <w:sz w:val="24"/>
                <w:szCs w:val="24"/>
              </w:rPr>
              <w:t>Альтернативные способы решения проблемы отсутствуют либо неприемлемы:</w:t>
            </w:r>
          </w:p>
          <w:p>
            <w:pPr>
              <w:spacing w:after="0" w:line="240" w:lineRule="auto"/>
              <w:jc w:val="both"/>
              <w:rPr>
                <w:rFonts w:ascii="Times New Roman" w:hAnsi="Times New Roman"/>
                <w:sz w:val="24"/>
                <w:szCs w:val="24"/>
              </w:rPr>
            </w:pPr>
            <w:r>
              <w:rPr>
                <w:rFonts w:ascii="Times New Roman" w:hAnsi="Times New Roman"/>
                <w:sz w:val="24"/>
                <w:szCs w:val="24"/>
              </w:rPr>
              <w:t xml:space="preserve">    бездействие и сохранение старых Правил невозможно в силу утраты силы пункта 7 статьи 25 Водного кодекса РФ;</w:t>
            </w:r>
            <w:bookmarkStart w:id="0" w:name="_GoBack"/>
            <w:bookmarkEnd w:id="0"/>
          </w:p>
          <w:p>
            <w:pPr>
              <w:spacing w:after="0" w:line="240" w:lineRule="auto"/>
              <w:jc w:val="both"/>
              <w:rPr>
                <w:rFonts w:ascii="Times New Roman" w:hAnsi="Times New Roman"/>
                <w:sz w:val="24"/>
                <w:szCs w:val="24"/>
              </w:rPr>
            </w:pPr>
            <w:r>
              <w:rPr>
                <w:rFonts w:ascii="Times New Roman" w:hAnsi="Times New Roman"/>
                <w:sz w:val="24"/>
                <w:szCs w:val="24"/>
              </w:rPr>
              <w:t xml:space="preserve">    внесение изменений в старые Правила нецелесообразно, так как они разрабатывались под иное правовое регулирование и не учитывают новые требования;</w:t>
            </w:r>
          </w:p>
          <w:p>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принятие ведомственного акта не допускается, так как полномочие отнесено к компетенции высшего исполнительного органа.</w:t>
            </w:r>
          </w:p>
          <w:p>
            <w:pPr>
              <w:spacing w:after="0" w:line="240" w:lineRule="auto"/>
              <w:jc w:val="both"/>
              <w:rPr>
                <w:rFonts w:ascii="Times New Roman" w:hAnsi="Times New Roman"/>
                <w:sz w:val="24"/>
                <w:szCs w:val="24"/>
                <w:highlight w:val="yellow"/>
              </w:rPr>
            </w:pPr>
            <w:r>
              <w:rPr>
                <w:rFonts w:ascii="Times New Roman" w:hAnsi="Times New Roman"/>
                <w:sz w:val="24"/>
                <w:szCs w:val="24"/>
              </w:rPr>
              <w:t xml:space="preserve">    Таким образом, принятие нового постановления с утверждением Правил является законным, обоснованным и единственным способом решения проблемы.</w:t>
            </w:r>
          </w:p>
        </w:tc>
      </w:tr>
      <w:tr>
        <w:tc>
          <w:tcPr>
            <w:tcW w:w="658"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lastRenderedPageBreak/>
              <w:t>6.4.</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Источники использованных данных:</w:t>
            </w:r>
          </w:p>
          <w:p>
            <w:pPr>
              <w:spacing w:after="0" w:line="240" w:lineRule="auto"/>
              <w:jc w:val="center"/>
              <w:rPr>
                <w:rFonts w:ascii="Times New Roman" w:hAnsi="Times New Roman"/>
                <w:sz w:val="20"/>
                <w:szCs w:val="24"/>
              </w:rPr>
            </w:pPr>
            <w:r>
              <w:rPr>
                <w:rFonts w:ascii="Times New Roman" w:hAnsi="Times New Roman"/>
                <w:sz w:val="24"/>
                <w:szCs w:val="24"/>
                <w:u w:val="single"/>
              </w:rPr>
              <w:t xml:space="preserve">Справочно-правовая система «Консультант </w:t>
            </w:r>
            <w:proofErr w:type="gramStart"/>
            <w:r>
              <w:rPr>
                <w:rFonts w:ascii="Times New Roman" w:hAnsi="Times New Roman"/>
                <w:sz w:val="24"/>
                <w:szCs w:val="24"/>
                <w:u w:val="single"/>
              </w:rPr>
              <w:t>плюс»_</w:t>
            </w:r>
            <w:proofErr w:type="gramEnd"/>
            <w:r>
              <w:rPr>
                <w:rFonts w:ascii="Times New Roman" w:hAnsi="Times New Roman"/>
                <w:sz w:val="24"/>
                <w:szCs w:val="24"/>
                <w:u w:val="single"/>
              </w:rPr>
              <w:t>________________________</w:t>
            </w:r>
            <w:r>
              <w:rPr>
                <w:rFonts w:ascii="Times New Roman" w:hAnsi="Times New Roman"/>
                <w:sz w:val="24"/>
                <w:szCs w:val="24"/>
              </w:rPr>
              <w:t xml:space="preserve"> </w:t>
            </w:r>
          </w:p>
          <w:p>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tc>
      </w:tr>
      <w:tr>
        <w:tc>
          <w:tcPr>
            <w:tcW w:w="658" w:type="dxa"/>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rPr>
                <w:rFonts w:ascii="Times New Roman" w:hAnsi="Times New Roman"/>
                <w:sz w:val="24"/>
                <w:szCs w:val="24"/>
              </w:rPr>
            </w:pPr>
          </w:p>
        </w:tc>
        <w:tc>
          <w:tcPr>
            <w:tcW w:w="9235" w:type="dxa"/>
            <w:gridSpan w:val="26"/>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Основные группы субъектов предпринимательской и иной экономической деятельности, иные заинтересованные лица, включая органы государственной власти и органы местного самоуправления, интересы которых будут затронуты предлагаемым правовым регулированием, оценка количества таких субъектов</w:t>
            </w:r>
          </w:p>
          <w:p>
            <w:pPr>
              <w:spacing w:after="0" w:line="240" w:lineRule="auto"/>
              <w:ind w:left="360"/>
              <w:rPr>
                <w:rFonts w:ascii="Times New Roman" w:hAnsi="Times New Roman"/>
                <w:sz w:val="16"/>
                <w:szCs w:val="16"/>
              </w:rPr>
            </w:pPr>
          </w:p>
        </w:tc>
      </w:tr>
      <w:tr>
        <w:tc>
          <w:tcPr>
            <w:tcW w:w="5027" w:type="dxa"/>
            <w:gridSpan w:val="1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7.1. Группа участников правоотношений</w:t>
            </w:r>
          </w:p>
        </w:tc>
        <w:tc>
          <w:tcPr>
            <w:tcW w:w="4866" w:type="dxa"/>
            <w:gridSpan w:val="1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7.2. Оценка количества участников правоотношений</w:t>
            </w:r>
          </w:p>
        </w:tc>
      </w:tr>
      <w:tr>
        <w:tc>
          <w:tcPr>
            <w:tcW w:w="5027" w:type="dxa"/>
            <w:gridSpan w:val="1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Юридические лица, физические лица, в том числе индивидуальные предприниматели.</w:t>
            </w:r>
          </w:p>
        </w:tc>
        <w:tc>
          <w:tcPr>
            <w:tcW w:w="4866" w:type="dxa"/>
            <w:gridSpan w:val="1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 xml:space="preserve">неограниченное количество участников </w:t>
            </w:r>
          </w:p>
        </w:tc>
      </w:tr>
      <w:tr>
        <w:tc>
          <w:tcPr>
            <w:tcW w:w="658"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7.3.</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Источники использованных данных:</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tc>
      </w:tr>
      <w:tr>
        <w:tc>
          <w:tcPr>
            <w:tcW w:w="658" w:type="dxa"/>
            <w:tcBorders>
              <w:top w:val="single" w:sz="4" w:space="0" w:color="auto"/>
              <w:left w:val="none" w:sz="4" w:space="0" w:color="000000"/>
              <w:bottom w:val="none" w:sz="4" w:space="0" w:color="000000"/>
              <w:right w:val="none" w:sz="4" w:space="0" w:color="000000"/>
            </w:tcBorders>
            <w:shd w:val="clear" w:color="auto" w:fill="auto"/>
          </w:tcPr>
          <w:p>
            <w:pPr>
              <w:spacing w:after="0" w:line="240" w:lineRule="auto"/>
              <w:rPr>
                <w:rFonts w:ascii="Times New Roman" w:hAnsi="Times New Roman"/>
                <w:sz w:val="24"/>
                <w:szCs w:val="24"/>
              </w:rPr>
            </w:pPr>
          </w:p>
        </w:tc>
        <w:tc>
          <w:tcPr>
            <w:tcW w:w="9235" w:type="dxa"/>
            <w:gridSpan w:val="26"/>
            <w:tcBorders>
              <w:top w:val="single" w:sz="4" w:space="0" w:color="auto"/>
              <w:left w:val="none" w:sz="4" w:space="0" w:color="000000"/>
              <w:bottom w:val="none" w:sz="4" w:space="0" w:color="000000"/>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Новые функции, полномочия, обязанности и права органов государственной власти и органов местного самоуправления или сведения об их изменении, а также порядок организации их исполнения**</w:t>
            </w:r>
          </w:p>
          <w:p>
            <w:pPr>
              <w:spacing w:after="0" w:line="240" w:lineRule="auto"/>
              <w:rPr>
                <w:rFonts w:ascii="Times New Roman" w:hAnsi="Times New Roman"/>
                <w:sz w:val="16"/>
                <w:szCs w:val="16"/>
              </w:rPr>
            </w:pPr>
          </w:p>
        </w:tc>
      </w:tr>
      <w:tr>
        <w:trPr>
          <w:trHeight w:val="997"/>
        </w:trPr>
        <w:tc>
          <w:tcPr>
            <w:tcW w:w="5065" w:type="dxa"/>
            <w:gridSpan w:val="15"/>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8.1. Описание новых или изменения существующих функций, полномочий, обязанностей или прав</w:t>
            </w:r>
          </w:p>
        </w:tc>
        <w:tc>
          <w:tcPr>
            <w:tcW w:w="4828" w:type="dxa"/>
            <w:gridSpan w:val="1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8.2. Порядок реализации</w:t>
            </w:r>
          </w:p>
          <w:p>
            <w:pPr>
              <w:spacing w:after="0" w:line="240" w:lineRule="auto"/>
              <w:jc w:val="center"/>
              <w:rPr>
                <w:rFonts w:ascii="Times New Roman" w:hAnsi="Times New Roman"/>
                <w:sz w:val="24"/>
                <w:szCs w:val="24"/>
              </w:rPr>
            </w:pPr>
          </w:p>
        </w:tc>
      </w:tr>
      <w:tr>
        <w:tc>
          <w:tcPr>
            <w:tcW w:w="9893" w:type="dxa"/>
            <w:gridSpan w:val="2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Наименование органа: (указываются соответствующие данные из пункта 7.1 сводного отчета)</w:t>
            </w:r>
          </w:p>
        </w:tc>
      </w:tr>
      <w:tr>
        <w:tc>
          <w:tcPr>
            <w:tcW w:w="5065" w:type="dxa"/>
            <w:gridSpan w:val="15"/>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w:t>
            </w:r>
          </w:p>
        </w:tc>
        <w:tc>
          <w:tcPr>
            <w:tcW w:w="4828" w:type="dxa"/>
            <w:gridSpan w:val="1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r>
      <w:tr>
        <w:tc>
          <w:tcPr>
            <w:tcW w:w="5065" w:type="dxa"/>
            <w:gridSpan w:val="15"/>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Не определено</w:t>
            </w:r>
          </w:p>
        </w:tc>
        <w:tc>
          <w:tcPr>
            <w:tcW w:w="4828" w:type="dxa"/>
            <w:gridSpan w:val="1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ind w:left="-108"/>
              <w:rPr>
                <w:rFonts w:ascii="Times New Roman" w:hAnsi="Times New Roman"/>
                <w:sz w:val="24"/>
                <w:szCs w:val="24"/>
              </w:rPr>
            </w:pPr>
            <w:r>
              <w:rPr>
                <w:rFonts w:ascii="Times New Roman" w:hAnsi="Times New Roman"/>
                <w:sz w:val="24"/>
                <w:szCs w:val="24"/>
              </w:rPr>
              <w:t xml:space="preserve"> Не установлено</w:t>
            </w:r>
          </w:p>
        </w:tc>
      </w:tr>
      <w:tr>
        <w:tc>
          <w:tcPr>
            <w:tcW w:w="658" w:type="dxa"/>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rPr>
                <w:rFonts w:ascii="Times New Roman" w:hAnsi="Times New Roman"/>
                <w:sz w:val="24"/>
                <w:szCs w:val="24"/>
              </w:rPr>
            </w:pPr>
          </w:p>
        </w:tc>
        <w:tc>
          <w:tcPr>
            <w:tcW w:w="9235" w:type="dxa"/>
            <w:gridSpan w:val="26"/>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Оценка соответствующих расходов (возможных поступлений) республиканского бюджета Республики Хакасия**</w:t>
            </w:r>
          </w:p>
          <w:p>
            <w:pPr>
              <w:spacing w:after="0" w:line="240" w:lineRule="auto"/>
              <w:ind w:left="360"/>
              <w:rPr>
                <w:rFonts w:ascii="Times New Roman" w:hAnsi="Times New Roman"/>
                <w:sz w:val="16"/>
                <w:szCs w:val="16"/>
              </w:rPr>
            </w:pPr>
          </w:p>
        </w:tc>
      </w:tr>
      <w:tr>
        <w:tc>
          <w:tcPr>
            <w:tcW w:w="3347" w:type="dxa"/>
            <w:gridSpan w:val="9"/>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9.1. Наименование новой или изменяемой функции, полномочия, обязанности или права (кратко указываются данные из пункта 8.1 сводного отчета)</w:t>
            </w:r>
          </w:p>
        </w:tc>
        <w:tc>
          <w:tcPr>
            <w:tcW w:w="3541" w:type="dxa"/>
            <w:gridSpan w:val="1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9.2. Описание видов расходов (возможных поступлений) республиканского бюджета Республики Хакасия</w:t>
            </w:r>
          </w:p>
        </w:tc>
        <w:tc>
          <w:tcPr>
            <w:tcW w:w="3005" w:type="dxa"/>
            <w:gridSpan w:val="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9.3. Количественная оценка расходов (возможных поступлений)</w:t>
            </w:r>
          </w:p>
        </w:tc>
      </w:tr>
      <w:tr>
        <w:tc>
          <w:tcPr>
            <w:tcW w:w="9893" w:type="dxa"/>
            <w:gridSpan w:val="2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Наименование органа: (орган №) (указываются соответствующие данные из пункта 7.1 сводного отчета)</w:t>
            </w:r>
          </w:p>
        </w:tc>
      </w:tr>
      <w:tr>
        <w:trPr>
          <w:trHeight w:val="523"/>
        </w:trPr>
        <w:tc>
          <w:tcPr>
            <w:tcW w:w="9893" w:type="dxa"/>
            <w:gridSpan w:val="27"/>
            <w:tcBorders>
              <w:top w:val="single" w:sz="4" w:space="0" w:color="auto"/>
              <w:left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Дополнительного финансирования из средств республиканского бюджета Республики Хакасия не потребуется</w:t>
            </w:r>
          </w:p>
        </w:tc>
      </w:tr>
      <w:tr>
        <w:tc>
          <w:tcPr>
            <w:tcW w:w="658" w:type="dxa"/>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9.7.</w:t>
            </w:r>
          </w:p>
        </w:tc>
        <w:tc>
          <w:tcPr>
            <w:tcW w:w="9235" w:type="dxa"/>
            <w:gridSpan w:val="2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Источники использованных данных:</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tc>
      </w:tr>
      <w:tr>
        <w:tc>
          <w:tcPr>
            <w:tcW w:w="658" w:type="dxa"/>
            <w:tcBorders>
              <w:top w:val="single" w:sz="4" w:space="0" w:color="auto"/>
              <w:left w:val="none" w:sz="4" w:space="0" w:color="000000"/>
              <w:bottom w:val="none" w:sz="4" w:space="0" w:color="000000"/>
              <w:right w:val="none" w:sz="4" w:space="0" w:color="000000"/>
            </w:tcBorders>
            <w:shd w:val="clear" w:color="auto" w:fill="auto"/>
          </w:tcPr>
          <w:p>
            <w:pPr>
              <w:spacing w:after="0" w:line="240" w:lineRule="auto"/>
              <w:rPr>
                <w:rFonts w:ascii="Times New Roman" w:hAnsi="Times New Roman"/>
                <w:sz w:val="24"/>
                <w:szCs w:val="24"/>
              </w:rPr>
            </w:pPr>
          </w:p>
        </w:tc>
        <w:tc>
          <w:tcPr>
            <w:tcW w:w="9235" w:type="dxa"/>
            <w:gridSpan w:val="26"/>
            <w:tcBorders>
              <w:top w:val="single" w:sz="4" w:space="0" w:color="auto"/>
              <w:left w:val="none" w:sz="4" w:space="0" w:color="000000"/>
              <w:bottom w:val="none" w:sz="4" w:space="0" w:color="000000"/>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lastRenderedPageBreak/>
              <w:t>Новые обязательные требования, обязанности для субъектов предпринимательской и иной экономической деятельности, новая ответственность за нарушение нормативных правовых актов Республики Хакасия, новые обязанности, запреты и ограничения для субъектов предпринимательской и иной экономической деятельности, а также порядок организации их исполнения**</w:t>
            </w:r>
          </w:p>
          <w:p>
            <w:pPr>
              <w:spacing w:after="0" w:line="240" w:lineRule="auto"/>
              <w:ind w:left="360"/>
              <w:rPr>
                <w:rFonts w:ascii="Times New Roman" w:hAnsi="Times New Roman"/>
                <w:b/>
                <w:sz w:val="16"/>
                <w:szCs w:val="16"/>
              </w:rPr>
            </w:pPr>
          </w:p>
        </w:tc>
      </w:tr>
      <w:tr>
        <w:tc>
          <w:tcPr>
            <w:tcW w:w="5045" w:type="dxa"/>
            <w:gridSpan w:val="1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10.1. Описание новых преимуществ, обязательных требований, обязанностей, ограничений, ответственности или изменения содержания существующих обязательных требований, обязанностей, ограничений и ответственности </w:t>
            </w:r>
          </w:p>
        </w:tc>
        <w:tc>
          <w:tcPr>
            <w:tcW w:w="4848" w:type="dxa"/>
            <w:gridSpan w:val="1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10.2. Порядок реализации</w:t>
            </w:r>
          </w:p>
        </w:tc>
      </w:tr>
      <w:tr>
        <w:tc>
          <w:tcPr>
            <w:tcW w:w="9893" w:type="dxa"/>
            <w:gridSpan w:val="2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Группа субъектов предпринимательской и иной экономической деятельности (указываются соответствующие данные из пункта 7.1 сводного отчета)</w:t>
            </w:r>
          </w:p>
        </w:tc>
      </w:tr>
      <w:tr>
        <w:trPr>
          <w:trHeight w:val="269"/>
        </w:trPr>
        <w:tc>
          <w:tcPr>
            <w:tcW w:w="5045" w:type="dxa"/>
            <w:gridSpan w:val="14"/>
            <w:tcBorders>
              <w:top w:val="single" w:sz="4" w:space="0" w:color="auto"/>
              <w:left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Юридическим лицам, физическим лицам, в том числе индивидуальным предпринимателям: при эксплуатации маломерных судов запрещается нарушать правила маневрирования, подачи звуковых сигналов, несения огней или знаков, установленные Правилами плавания судов по внутренним водным путям, утвержденными приказом Министерства транспорта Российской Федерации от 19.01.2018 № 19,  Правилами пользования маломерными судами на водных объектах, утвержденными приказом Министерства Российской Федерации по делам гражданской обороны, чрезвычайным ситуациям и ликвидации последствий стихийных бедствий (далее – МЧС России) от 22.07.2025 № 636, и Правилами</w:t>
            </w:r>
            <w:r>
              <w:t xml:space="preserve"> </w:t>
            </w:r>
            <w:r>
              <w:rPr>
                <w:rFonts w:ascii="Times New Roman" w:hAnsi="Times New Roman"/>
                <w:sz w:val="24"/>
                <w:szCs w:val="24"/>
              </w:rPr>
              <w:t>пользования маломерными судами на водных объектах на территории Республики Хакасия;</w:t>
            </w:r>
          </w:p>
          <w:p>
            <w:pPr>
              <w:spacing w:after="0" w:line="240" w:lineRule="auto"/>
              <w:jc w:val="both"/>
              <w:rPr>
                <w:rFonts w:ascii="Times New Roman" w:hAnsi="Times New Roman"/>
                <w:sz w:val="24"/>
                <w:szCs w:val="24"/>
              </w:rPr>
            </w:pPr>
            <w:r>
              <w:rPr>
                <w:rFonts w:ascii="Times New Roman" w:hAnsi="Times New Roman"/>
                <w:sz w:val="24"/>
                <w:szCs w:val="24"/>
              </w:rPr>
              <w:t xml:space="preserve">В соответствии с подпунктом 15.4.9 пункта 15 приказа Министерства сельского хозяйства Российской Федерации от 30.10.2020 № 646 «Об утверждении правил рыболовства для Западно-Сибирского </w:t>
            </w:r>
            <w:proofErr w:type="spellStart"/>
            <w:r>
              <w:rPr>
                <w:rFonts w:ascii="Times New Roman" w:hAnsi="Times New Roman"/>
                <w:sz w:val="24"/>
                <w:szCs w:val="24"/>
              </w:rPr>
              <w:t>рыбохозяйственного</w:t>
            </w:r>
            <w:proofErr w:type="spellEnd"/>
            <w:r>
              <w:rPr>
                <w:rFonts w:ascii="Times New Roman" w:hAnsi="Times New Roman"/>
                <w:sz w:val="24"/>
                <w:szCs w:val="24"/>
              </w:rPr>
              <w:t xml:space="preserve"> бассейна» (далее – Правила рыболовства) при осуществлении рыболовства запрещается использовать маломерные суда на водных объектах </w:t>
            </w:r>
            <w:proofErr w:type="spellStart"/>
            <w:r>
              <w:rPr>
                <w:rFonts w:ascii="Times New Roman" w:hAnsi="Times New Roman"/>
                <w:sz w:val="24"/>
                <w:szCs w:val="24"/>
              </w:rPr>
              <w:t>рыбохозяйственного</w:t>
            </w:r>
            <w:proofErr w:type="spellEnd"/>
            <w:r>
              <w:rPr>
                <w:rFonts w:ascii="Times New Roman" w:hAnsi="Times New Roman"/>
                <w:sz w:val="24"/>
                <w:szCs w:val="24"/>
              </w:rPr>
              <w:t xml:space="preserve"> значения или их участках в запретные сроки (периоды) и в запретных районах (местах) для осуществления рыболовства в периоды нереста, установленные Правилами рыболовства на период нереста, за исключением несамоходных судов, а также </w:t>
            </w:r>
            <w:r>
              <w:rPr>
                <w:rFonts w:ascii="Times New Roman" w:hAnsi="Times New Roman"/>
                <w:sz w:val="24"/>
                <w:szCs w:val="24"/>
              </w:rPr>
              <w:lastRenderedPageBreak/>
              <w:t xml:space="preserve">других судов, применяемых для осуществления разрешенной деятельности </w:t>
            </w:r>
          </w:p>
          <w:p>
            <w:pPr>
              <w:spacing w:after="0" w:line="240" w:lineRule="auto"/>
              <w:jc w:val="both"/>
              <w:rPr>
                <w:rFonts w:ascii="Times New Roman" w:hAnsi="Times New Roman"/>
                <w:sz w:val="24"/>
                <w:szCs w:val="24"/>
              </w:rPr>
            </w:pPr>
            <w:r>
              <w:rPr>
                <w:rFonts w:ascii="Times New Roman" w:hAnsi="Times New Roman"/>
                <w:sz w:val="24"/>
                <w:szCs w:val="24"/>
              </w:rPr>
              <w:t>по добыче (вылову) водных биоресурсов;</w:t>
            </w:r>
          </w:p>
          <w:p>
            <w:pPr>
              <w:spacing w:after="0" w:line="240" w:lineRule="auto"/>
              <w:jc w:val="both"/>
              <w:rPr>
                <w:rFonts w:ascii="Times New Roman" w:hAnsi="Times New Roman"/>
                <w:sz w:val="24"/>
                <w:szCs w:val="24"/>
              </w:rPr>
            </w:pPr>
            <w:r>
              <w:rPr>
                <w:rFonts w:ascii="Times New Roman" w:hAnsi="Times New Roman"/>
                <w:sz w:val="24"/>
                <w:szCs w:val="24"/>
              </w:rPr>
              <w:t>Также в Правилах пользования маломерными судами на водных объектах на территории Республики Хакасия установлены новые меры безопасности на водных объектах при плавании на маломерных судах на территории Республики Хакасия, в том числе ограничение скорости движения маломерных судов, меры безопасности при проведении мероприятий,</w:t>
            </w:r>
          </w:p>
          <w:p>
            <w:pPr>
              <w:spacing w:after="0" w:line="240" w:lineRule="auto"/>
              <w:jc w:val="both"/>
              <w:rPr>
                <w:rFonts w:ascii="Times New Roman" w:hAnsi="Times New Roman"/>
                <w:sz w:val="24"/>
                <w:szCs w:val="24"/>
              </w:rPr>
            </w:pPr>
            <w:r>
              <w:rPr>
                <w:rFonts w:ascii="Times New Roman" w:hAnsi="Times New Roman"/>
                <w:sz w:val="24"/>
                <w:szCs w:val="24"/>
              </w:rPr>
              <w:t>связанных с использованием маломерных судов на водных объектах или их частях для рекреационных целей на территории Республики Хакасия</w:t>
            </w:r>
          </w:p>
        </w:tc>
        <w:tc>
          <w:tcPr>
            <w:tcW w:w="4848" w:type="dxa"/>
            <w:gridSpan w:val="13"/>
            <w:tcBorders>
              <w:top w:val="single" w:sz="4" w:space="0" w:color="auto"/>
              <w:left w:val="single" w:sz="4" w:space="0" w:color="auto"/>
              <w:right w:val="single" w:sz="4" w:space="0" w:color="auto"/>
            </w:tcBorders>
            <w:shd w:val="clear" w:color="auto" w:fill="auto"/>
          </w:tcPr>
          <w:p>
            <w:pPr>
              <w:rPr>
                <w:rFonts w:ascii="Times New Roman" w:hAnsi="Times New Roman"/>
                <w:sz w:val="24"/>
                <w:szCs w:val="24"/>
                <w:highlight w:val="red"/>
              </w:rPr>
            </w:pPr>
            <w:r>
              <w:rPr>
                <w:rFonts w:ascii="Times New Roman" w:hAnsi="Times New Roman"/>
                <w:sz w:val="24"/>
                <w:szCs w:val="24"/>
              </w:rPr>
              <w:lastRenderedPageBreak/>
              <w:t>Не установлено</w:t>
            </w:r>
          </w:p>
        </w:tc>
      </w:tr>
      <w:tr>
        <w:tc>
          <w:tcPr>
            <w:tcW w:w="658" w:type="dxa"/>
            <w:tcBorders>
              <w:top w:val="none" w:sz="4" w:space="0" w:color="000000"/>
              <w:left w:val="none" w:sz="4" w:space="0" w:color="000000"/>
              <w:bottom w:val="none" w:sz="4" w:space="0" w:color="000000"/>
              <w:right w:val="none" w:sz="4" w:space="0" w:color="000000"/>
            </w:tcBorders>
            <w:shd w:val="clear" w:color="auto" w:fill="auto"/>
          </w:tcPr>
          <w:p>
            <w:pPr>
              <w:spacing w:after="0" w:line="240" w:lineRule="auto"/>
              <w:rPr>
                <w:rFonts w:ascii="Times New Roman" w:hAnsi="Times New Roman"/>
                <w:sz w:val="24"/>
                <w:szCs w:val="24"/>
              </w:rPr>
            </w:pPr>
          </w:p>
        </w:tc>
        <w:tc>
          <w:tcPr>
            <w:tcW w:w="9235" w:type="dxa"/>
            <w:gridSpan w:val="26"/>
            <w:tcBorders>
              <w:top w:val="none" w:sz="4" w:space="0" w:color="000000"/>
              <w:left w:val="none" w:sz="4" w:space="0" w:color="000000"/>
              <w:bottom w:val="none" w:sz="4" w:space="0" w:color="000000"/>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Оценка расходов и доходов субъектов предпринимательской и иной экономической деятельности, связанных с необходимостью соблюдения установленных обязательных требований или обязанностей, а также связанных с введением новой ответственности**</w:t>
            </w:r>
          </w:p>
          <w:p>
            <w:pPr>
              <w:spacing w:after="0" w:line="240" w:lineRule="auto"/>
              <w:ind w:left="360"/>
              <w:rPr>
                <w:rFonts w:ascii="Times New Roman" w:hAnsi="Times New Roman"/>
                <w:sz w:val="16"/>
                <w:szCs w:val="16"/>
              </w:rPr>
            </w:pPr>
          </w:p>
        </w:tc>
      </w:tr>
      <w:tr>
        <w:tc>
          <w:tcPr>
            <w:tcW w:w="3347" w:type="dxa"/>
            <w:gridSpan w:val="9"/>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11.1. Группа субъектов предпринимательской и иной экономической деятельности (указываются соответствующие данные из пункта 7.1 сводного отчета)</w:t>
            </w:r>
          </w:p>
          <w:p>
            <w:pPr>
              <w:spacing w:after="0" w:line="240" w:lineRule="auto"/>
              <w:jc w:val="center"/>
              <w:rPr>
                <w:rFonts w:ascii="Times New Roman" w:hAnsi="Times New Roman"/>
                <w:sz w:val="24"/>
                <w:szCs w:val="24"/>
              </w:rPr>
            </w:pPr>
          </w:p>
        </w:tc>
        <w:tc>
          <w:tcPr>
            <w:tcW w:w="3396" w:type="dxa"/>
            <w:gridSpan w:val="1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11.2. Описание новых преимуществ, обязательных требований обязанностей, ограничений или изменения содержания существующих обязательных требований, обязанностей и ограничений (кратко указываются данные из пункта 10.1 сводного отчета)</w:t>
            </w:r>
          </w:p>
          <w:p>
            <w:pPr>
              <w:spacing w:after="0" w:line="240" w:lineRule="auto"/>
              <w:jc w:val="center"/>
              <w:rPr>
                <w:rFonts w:ascii="Times New Roman" w:hAnsi="Times New Roman"/>
                <w:sz w:val="24"/>
                <w:szCs w:val="24"/>
              </w:rPr>
            </w:pPr>
          </w:p>
        </w:tc>
        <w:tc>
          <w:tcPr>
            <w:tcW w:w="3150" w:type="dxa"/>
            <w:gridSpan w:val="6"/>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 xml:space="preserve">11.3. Описание и оценка видов расходов, а также доходов (экономии), возникающих, в том числе в связи с отсутствием необходимости соблюдать требования, обязанности, запреты </w:t>
            </w:r>
          </w:p>
        </w:tc>
      </w:tr>
      <w:tr>
        <w:tc>
          <w:tcPr>
            <w:tcW w:w="9893" w:type="dxa"/>
            <w:gridSpan w:val="2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Дополнительных расходов и доходов субъектов предпринимательской и иной экономической деятельности, связанных с необходимостью соблюдения установленных обязательных требований или обязанностей не повлечет</w:t>
            </w:r>
          </w:p>
        </w:tc>
      </w:tr>
      <w:tr>
        <w:tc>
          <w:tcPr>
            <w:tcW w:w="804" w:type="dxa"/>
            <w:gridSpan w:val="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lang w:val="en-US"/>
              </w:rPr>
            </w:pPr>
            <w:r>
              <w:rPr>
                <w:rFonts w:ascii="Times New Roman" w:hAnsi="Times New Roman"/>
                <w:sz w:val="24"/>
                <w:szCs w:val="24"/>
                <w:lang w:val="en-US"/>
              </w:rPr>
              <w:t>11.</w:t>
            </w:r>
            <w:r>
              <w:rPr>
                <w:rFonts w:ascii="Times New Roman" w:hAnsi="Times New Roman"/>
                <w:sz w:val="24"/>
                <w:szCs w:val="24"/>
              </w:rPr>
              <w:t>6</w:t>
            </w:r>
            <w:r>
              <w:rPr>
                <w:rFonts w:ascii="Times New Roman" w:hAnsi="Times New Roman"/>
                <w:sz w:val="24"/>
                <w:szCs w:val="24"/>
                <w:lang w:val="en-US"/>
              </w:rPr>
              <w:t>.</w:t>
            </w:r>
          </w:p>
        </w:tc>
        <w:tc>
          <w:tcPr>
            <w:tcW w:w="9089" w:type="dxa"/>
            <w:gridSpan w:val="2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Источники использованных данных:</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tc>
      </w:tr>
      <w:tr>
        <w:tc>
          <w:tcPr>
            <w:tcW w:w="804" w:type="dxa"/>
            <w:gridSpan w:val="4"/>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rPr>
                <w:rFonts w:ascii="Times New Roman" w:hAnsi="Times New Roman"/>
                <w:sz w:val="24"/>
                <w:szCs w:val="24"/>
              </w:rPr>
            </w:pPr>
          </w:p>
        </w:tc>
        <w:tc>
          <w:tcPr>
            <w:tcW w:w="9089" w:type="dxa"/>
            <w:gridSpan w:val="23"/>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Риски решения проблемы предложенным способом регулирования и риски негативных последствий, а также описание методов контроля эффективности избранного способа достижения цели регулирования</w:t>
            </w:r>
          </w:p>
          <w:p>
            <w:pPr>
              <w:spacing w:after="0" w:line="240" w:lineRule="auto"/>
              <w:ind w:left="360"/>
              <w:rPr>
                <w:rFonts w:ascii="Times New Roman" w:hAnsi="Times New Roman"/>
                <w:sz w:val="16"/>
                <w:szCs w:val="16"/>
              </w:rPr>
            </w:pPr>
          </w:p>
        </w:tc>
      </w:tr>
      <w:tr>
        <w:tc>
          <w:tcPr>
            <w:tcW w:w="2521" w:type="dxa"/>
            <w:gridSpan w:val="5"/>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12.1. Риски решения проблемы предложенным способом и риски негативных последствий</w:t>
            </w:r>
          </w:p>
          <w:p>
            <w:pPr>
              <w:spacing w:after="0" w:line="240" w:lineRule="auto"/>
              <w:jc w:val="center"/>
              <w:rPr>
                <w:rFonts w:ascii="Times New Roman" w:hAnsi="Times New Roman"/>
                <w:sz w:val="24"/>
                <w:szCs w:val="24"/>
              </w:rPr>
            </w:pPr>
          </w:p>
        </w:tc>
        <w:tc>
          <w:tcPr>
            <w:tcW w:w="2544" w:type="dxa"/>
            <w:gridSpan w:val="10"/>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12.2. Оценка вероятности наступления рисков*</w:t>
            </w:r>
          </w:p>
          <w:p>
            <w:pPr>
              <w:spacing w:after="0" w:line="240" w:lineRule="auto"/>
              <w:jc w:val="center"/>
              <w:rPr>
                <w:rFonts w:ascii="Times New Roman" w:hAnsi="Times New Roman"/>
                <w:sz w:val="24"/>
                <w:szCs w:val="24"/>
              </w:rPr>
            </w:pPr>
          </w:p>
        </w:tc>
        <w:tc>
          <w:tcPr>
            <w:tcW w:w="2541" w:type="dxa"/>
            <w:gridSpan w:val="10"/>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 xml:space="preserve">12.3. Методы контроля эффективности избранного способа достижения целей регулирования (контроля </w:t>
            </w:r>
            <w:proofErr w:type="gramStart"/>
            <w:r>
              <w:rPr>
                <w:rFonts w:ascii="Times New Roman" w:hAnsi="Times New Roman"/>
                <w:sz w:val="24"/>
                <w:szCs w:val="24"/>
              </w:rPr>
              <w:t>рисков)*</w:t>
            </w:r>
            <w:proofErr w:type="gramEnd"/>
          </w:p>
          <w:p>
            <w:pPr>
              <w:spacing w:after="0" w:line="240" w:lineRule="auto"/>
              <w:jc w:val="center"/>
              <w:rPr>
                <w:rFonts w:ascii="Times New Roman" w:hAnsi="Times New Roman"/>
                <w:sz w:val="24"/>
                <w:szCs w:val="24"/>
              </w:rPr>
            </w:pPr>
          </w:p>
        </w:tc>
        <w:tc>
          <w:tcPr>
            <w:tcW w:w="2287" w:type="dxa"/>
            <w:gridSpan w:val="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lastRenderedPageBreak/>
              <w:t>12.4. Степень контроля рисков*</w:t>
            </w:r>
          </w:p>
          <w:p>
            <w:pPr>
              <w:spacing w:after="0" w:line="240" w:lineRule="auto"/>
              <w:jc w:val="center"/>
              <w:rPr>
                <w:rFonts w:ascii="Times New Roman" w:hAnsi="Times New Roman"/>
                <w:sz w:val="24"/>
                <w:szCs w:val="24"/>
              </w:rPr>
            </w:pPr>
          </w:p>
        </w:tc>
      </w:tr>
      <w:tr>
        <w:tc>
          <w:tcPr>
            <w:tcW w:w="9893" w:type="dxa"/>
            <w:gridSpan w:val="2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lastRenderedPageBreak/>
              <w:t>Негативных последствия для субъектов предпринимательской и иной экономической деятельности принятие проекта не повлечет, методы контроля эффективности избранного способа достижения цели регулирования не определены</w:t>
            </w:r>
          </w:p>
        </w:tc>
      </w:tr>
      <w:tr>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12.5.</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Источники использованных данных:</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tc>
      </w:tr>
      <w:tr>
        <w:tc>
          <w:tcPr>
            <w:tcW w:w="794" w:type="dxa"/>
            <w:gridSpan w:val="3"/>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rPr>
                <w:rFonts w:ascii="Times New Roman" w:hAnsi="Times New Roman"/>
                <w:sz w:val="24"/>
                <w:szCs w:val="24"/>
              </w:rPr>
            </w:pPr>
          </w:p>
        </w:tc>
        <w:tc>
          <w:tcPr>
            <w:tcW w:w="9099" w:type="dxa"/>
            <w:gridSpan w:val="24"/>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ind w:left="360"/>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Необходимые для достижения заявленных целей регулирования организационно-технические, методологические, информационные и иные мероприятия*</w:t>
            </w:r>
          </w:p>
          <w:p>
            <w:pPr>
              <w:spacing w:after="0" w:line="240" w:lineRule="auto"/>
              <w:rPr>
                <w:rFonts w:ascii="Times New Roman" w:hAnsi="Times New Roman"/>
                <w:sz w:val="16"/>
                <w:szCs w:val="16"/>
              </w:rPr>
            </w:pPr>
          </w:p>
        </w:tc>
      </w:tr>
      <w:tr>
        <w:tc>
          <w:tcPr>
            <w:tcW w:w="3278" w:type="dxa"/>
            <w:gridSpan w:val="8"/>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13.1. Мероприятия необходимые для достижения целей регулирования</w:t>
            </w:r>
          </w:p>
        </w:tc>
        <w:tc>
          <w:tcPr>
            <w:tcW w:w="3290" w:type="dxa"/>
            <w:gridSpan w:val="1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13.2. Сроки мероприятий</w:t>
            </w:r>
          </w:p>
          <w:p>
            <w:pPr>
              <w:spacing w:after="0" w:line="240" w:lineRule="auto"/>
              <w:jc w:val="center"/>
              <w:rPr>
                <w:rFonts w:ascii="Times New Roman" w:hAnsi="Times New Roman"/>
                <w:sz w:val="24"/>
                <w:szCs w:val="24"/>
              </w:rPr>
            </w:pPr>
          </w:p>
        </w:tc>
        <w:tc>
          <w:tcPr>
            <w:tcW w:w="3325" w:type="dxa"/>
            <w:gridSpan w:val="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13.3. Описание ожидаемого результата</w:t>
            </w:r>
          </w:p>
          <w:p>
            <w:pPr>
              <w:spacing w:after="0" w:line="240" w:lineRule="auto"/>
              <w:jc w:val="center"/>
              <w:rPr>
                <w:rFonts w:ascii="Times New Roman" w:hAnsi="Times New Roman"/>
                <w:sz w:val="24"/>
                <w:szCs w:val="24"/>
              </w:rPr>
            </w:pPr>
          </w:p>
        </w:tc>
      </w:tr>
      <w:tr>
        <w:tc>
          <w:tcPr>
            <w:tcW w:w="3278" w:type="dxa"/>
            <w:gridSpan w:val="8"/>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Не указаны</w:t>
            </w:r>
          </w:p>
        </w:tc>
        <w:tc>
          <w:tcPr>
            <w:tcW w:w="3290" w:type="dxa"/>
            <w:gridSpan w:val="1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Не указаны</w:t>
            </w:r>
          </w:p>
        </w:tc>
        <w:tc>
          <w:tcPr>
            <w:tcW w:w="3325" w:type="dxa"/>
            <w:gridSpan w:val="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w:t>
            </w:r>
          </w:p>
        </w:tc>
      </w:tr>
      <w:tr>
        <w:tc>
          <w:tcPr>
            <w:tcW w:w="3278" w:type="dxa"/>
            <w:gridSpan w:val="8"/>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3290" w:type="dxa"/>
            <w:gridSpan w:val="1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c>
          <w:tcPr>
            <w:tcW w:w="3325" w:type="dxa"/>
            <w:gridSpan w:val="7"/>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p>
        </w:tc>
      </w:tr>
      <w:tr>
        <w:tc>
          <w:tcPr>
            <w:tcW w:w="794" w:type="dxa"/>
            <w:gridSpan w:val="3"/>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rPr>
                <w:rFonts w:ascii="Times New Roman" w:hAnsi="Times New Roman"/>
                <w:sz w:val="24"/>
                <w:szCs w:val="24"/>
              </w:rPr>
            </w:pPr>
          </w:p>
        </w:tc>
        <w:tc>
          <w:tcPr>
            <w:tcW w:w="9099" w:type="dxa"/>
            <w:gridSpan w:val="24"/>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ind w:left="360"/>
              <w:jc w:val="center"/>
              <w:rPr>
                <w:rFonts w:ascii="Times New Roman" w:hAnsi="Times New Roman"/>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Индикативные показатели, программы мониторинга и иные способы (методы) оценки достижения заявленных целей регулирования*</w:t>
            </w:r>
          </w:p>
          <w:p>
            <w:pPr>
              <w:spacing w:after="0" w:line="240" w:lineRule="auto"/>
              <w:ind w:left="360"/>
              <w:jc w:val="center"/>
              <w:rPr>
                <w:rFonts w:ascii="Times New Roman" w:hAnsi="Times New Roman"/>
                <w:sz w:val="16"/>
                <w:szCs w:val="16"/>
              </w:rPr>
            </w:pPr>
          </w:p>
        </w:tc>
      </w:tr>
      <w:tr>
        <w:trPr>
          <w:trHeight w:val="1478"/>
        </w:trPr>
        <w:tc>
          <w:tcPr>
            <w:tcW w:w="3225" w:type="dxa"/>
            <w:gridSpan w:val="7"/>
            <w:tcBorders>
              <w:top w:val="single" w:sz="4" w:space="0" w:color="auto"/>
              <w:left w:val="single" w:sz="4" w:space="0" w:color="auto"/>
              <w:right w:val="single" w:sz="4" w:space="0" w:color="auto"/>
            </w:tcBorders>
            <w:shd w:val="clear" w:color="auto" w:fill="auto"/>
            <w:vAlign w:val="center"/>
          </w:tcPr>
          <w:p>
            <w:pPr>
              <w:spacing w:after="0" w:line="240" w:lineRule="auto"/>
              <w:jc w:val="center"/>
              <w:rPr>
                <w:rFonts w:ascii="Times New Roman" w:hAnsi="Times New Roman"/>
                <w:sz w:val="24"/>
                <w:szCs w:val="24"/>
              </w:rPr>
            </w:pPr>
            <w:r>
              <w:rPr>
                <w:rFonts w:ascii="Times New Roman" w:hAnsi="Times New Roman"/>
                <w:sz w:val="24"/>
                <w:szCs w:val="24"/>
              </w:rPr>
              <w:t>14.1. Цели предлагаемого регулирования (кратко указываются данные из пункта 5.1 сводного отчета)</w:t>
            </w:r>
          </w:p>
        </w:tc>
        <w:tc>
          <w:tcPr>
            <w:tcW w:w="6668" w:type="dxa"/>
            <w:gridSpan w:val="20"/>
            <w:tcBorders>
              <w:top w:val="single" w:sz="4" w:space="0" w:color="auto"/>
              <w:left w:val="single" w:sz="4" w:space="0" w:color="auto"/>
              <w:right w:val="single" w:sz="4" w:space="0" w:color="auto"/>
            </w:tcBorders>
            <w:shd w:val="clear" w:color="auto" w:fill="auto"/>
            <w:vAlign w:val="center"/>
          </w:tcPr>
          <w:p>
            <w:pPr>
              <w:spacing w:after="0" w:line="240" w:lineRule="auto"/>
              <w:jc w:val="center"/>
              <w:rPr>
                <w:rFonts w:ascii="Times New Roman" w:hAnsi="Times New Roman"/>
                <w:sz w:val="24"/>
                <w:szCs w:val="24"/>
              </w:rPr>
            </w:pPr>
            <w:r>
              <w:rPr>
                <w:rFonts w:ascii="Times New Roman" w:hAnsi="Times New Roman"/>
                <w:sz w:val="24"/>
                <w:szCs w:val="24"/>
              </w:rPr>
              <w:t>14.2. Индикативные показатели (отражение степени (этапов) достижения целей правового регулирования) и единицы их измерения</w:t>
            </w:r>
          </w:p>
          <w:p>
            <w:pPr>
              <w:spacing w:after="0" w:line="240" w:lineRule="auto"/>
              <w:jc w:val="center"/>
              <w:rPr>
                <w:rFonts w:ascii="Times New Roman" w:hAnsi="Times New Roman"/>
                <w:sz w:val="24"/>
                <w:szCs w:val="24"/>
              </w:rPr>
            </w:pPr>
          </w:p>
        </w:tc>
      </w:tr>
      <w:tr>
        <w:tc>
          <w:tcPr>
            <w:tcW w:w="3225" w:type="dxa"/>
            <w:gridSpan w:val="7"/>
            <w:vMerge w:val="restart"/>
            <w:tcBorders>
              <w:top w:val="single" w:sz="4" w:space="0" w:color="auto"/>
              <w:left w:val="single" w:sz="4" w:space="0" w:color="auto"/>
              <w:right w:val="single" w:sz="4" w:space="0" w:color="auto"/>
            </w:tcBorders>
            <w:shd w:val="clear" w:color="auto" w:fill="auto"/>
            <w:vAlign w:val="center"/>
          </w:tcPr>
          <w:p>
            <w:pPr>
              <w:spacing w:after="0" w:line="240" w:lineRule="auto"/>
              <w:rPr>
                <w:rFonts w:ascii="Times New Roman" w:hAnsi="Times New Roman"/>
                <w:sz w:val="24"/>
                <w:szCs w:val="24"/>
              </w:rPr>
            </w:pPr>
            <w:r>
              <w:rPr>
                <w:rFonts w:ascii="Times New Roman" w:hAnsi="Times New Roman"/>
                <w:sz w:val="24"/>
                <w:szCs w:val="24"/>
              </w:rPr>
              <w:t>Приведение нормативного акта в соответствии с действующим законодательством Российской Федерации</w:t>
            </w:r>
          </w:p>
        </w:tc>
        <w:tc>
          <w:tcPr>
            <w:tcW w:w="6668"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sz w:val="24"/>
                <w:szCs w:val="24"/>
              </w:rPr>
            </w:pPr>
            <w:r>
              <w:rPr>
                <w:rFonts w:ascii="Times New Roman" w:hAnsi="Times New Roman"/>
                <w:sz w:val="24"/>
                <w:szCs w:val="24"/>
              </w:rPr>
              <w:t>Не указан</w:t>
            </w:r>
          </w:p>
        </w:tc>
      </w:tr>
      <w:tr>
        <w:trPr>
          <w:trHeight w:val="295"/>
        </w:trPr>
        <w:tc>
          <w:tcPr>
            <w:tcW w:w="3225" w:type="dxa"/>
            <w:gridSpan w:val="7"/>
            <w:vMerge/>
            <w:tcBorders>
              <w:left w:val="single" w:sz="4" w:space="0" w:color="auto"/>
              <w:right w:val="single" w:sz="4" w:space="0" w:color="auto"/>
            </w:tcBorders>
            <w:shd w:val="clear" w:color="auto" w:fill="auto"/>
            <w:vAlign w:val="center"/>
          </w:tcPr>
          <w:p>
            <w:pPr>
              <w:spacing w:after="0" w:line="240" w:lineRule="auto"/>
              <w:jc w:val="center"/>
              <w:rPr>
                <w:rFonts w:ascii="Times New Roman" w:hAnsi="Times New Roman"/>
                <w:sz w:val="24"/>
                <w:szCs w:val="24"/>
              </w:rPr>
            </w:pPr>
          </w:p>
        </w:tc>
        <w:tc>
          <w:tcPr>
            <w:tcW w:w="6668" w:type="dxa"/>
            <w:gridSpan w:val="20"/>
            <w:tcBorders>
              <w:top w:val="single" w:sz="4" w:space="0" w:color="auto"/>
              <w:left w:val="single" w:sz="4" w:space="0" w:color="auto"/>
              <w:right w:val="single" w:sz="4" w:space="0" w:color="auto"/>
            </w:tcBorders>
            <w:shd w:val="clear" w:color="auto" w:fill="auto"/>
            <w:vAlign w:val="center"/>
          </w:tcPr>
          <w:p>
            <w:pPr>
              <w:spacing w:after="0" w:line="240" w:lineRule="auto"/>
              <w:jc w:val="center"/>
              <w:rPr>
                <w:rFonts w:ascii="Times New Roman" w:hAnsi="Times New Roman"/>
                <w:sz w:val="24"/>
                <w:szCs w:val="24"/>
              </w:rPr>
            </w:pPr>
            <w:r>
              <w:rPr>
                <w:rFonts w:ascii="Times New Roman" w:hAnsi="Times New Roman"/>
                <w:sz w:val="24"/>
                <w:szCs w:val="24"/>
              </w:rPr>
              <w:t>Не указан</w:t>
            </w:r>
          </w:p>
        </w:tc>
      </w:tr>
      <w:tr>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14.3.</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Информация о программах мониторинга и иных способах (методах) оценки достижения заявленных целей регулирования:</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tc>
      </w:tr>
      <w:tr>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14.4.</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Источники использованных данных:</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tc>
      </w:tr>
      <w:tr>
        <w:tc>
          <w:tcPr>
            <w:tcW w:w="794" w:type="dxa"/>
            <w:gridSpan w:val="3"/>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rPr>
                <w:rFonts w:ascii="Times New Roman" w:hAnsi="Times New Roman"/>
                <w:sz w:val="24"/>
                <w:szCs w:val="24"/>
              </w:rPr>
            </w:pPr>
          </w:p>
        </w:tc>
        <w:tc>
          <w:tcPr>
            <w:tcW w:w="9099" w:type="dxa"/>
            <w:gridSpan w:val="24"/>
            <w:tcBorders>
              <w:top w:val="single" w:sz="4" w:space="0" w:color="auto"/>
              <w:left w:val="none" w:sz="4" w:space="0" w:color="000000"/>
              <w:bottom w:val="single" w:sz="4" w:space="0" w:color="auto"/>
              <w:right w:val="none" w:sz="4" w:space="0" w:color="000000"/>
            </w:tcBorders>
            <w:shd w:val="clear" w:color="auto" w:fill="auto"/>
          </w:tcPr>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Предполагаемая дата вступления в силу проекта нормативного акта, необходимость установления переходных положений (переходного периода), а также эксперимента**</w:t>
            </w:r>
          </w:p>
          <w:p>
            <w:pPr>
              <w:spacing w:after="0" w:line="240" w:lineRule="auto"/>
              <w:ind w:left="360"/>
              <w:rPr>
                <w:rFonts w:ascii="Times New Roman" w:hAnsi="Times New Roman"/>
                <w:sz w:val="16"/>
                <w:szCs w:val="16"/>
              </w:rPr>
            </w:pPr>
          </w:p>
        </w:tc>
      </w:tr>
      <w:tr>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15.1.</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Предполагаемая дата вступления в силу проекта нормативного акта: сентябрь 2026 года:</w:t>
            </w:r>
          </w:p>
        </w:tc>
      </w:tr>
      <w:tr>
        <w:tc>
          <w:tcPr>
            <w:tcW w:w="4922" w:type="dxa"/>
            <w:gridSpan w:val="1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15.2. Необходимость установления переходных положений (переходного периода):</w:t>
            </w:r>
          </w:p>
          <w:p>
            <w:pPr>
              <w:spacing w:after="0" w:line="240" w:lineRule="auto"/>
              <w:jc w:val="center"/>
              <w:rPr>
                <w:rFonts w:ascii="Times New Roman" w:hAnsi="Times New Roman"/>
                <w:sz w:val="24"/>
                <w:szCs w:val="24"/>
              </w:rPr>
            </w:pPr>
            <w:r>
              <w:rPr>
                <w:rFonts w:ascii="Times New Roman" w:hAnsi="Times New Roman"/>
                <w:sz w:val="24"/>
                <w:szCs w:val="24"/>
              </w:rPr>
              <w:t>__________________</w:t>
            </w:r>
            <w:r>
              <w:rPr>
                <w:rFonts w:ascii="Times New Roman" w:hAnsi="Times New Roman"/>
                <w:sz w:val="24"/>
                <w:szCs w:val="24"/>
                <w:u w:val="single"/>
              </w:rPr>
              <w:t>отсутствует</w:t>
            </w:r>
            <w:r>
              <w:rPr>
                <w:rFonts w:ascii="Times New Roman" w:hAnsi="Times New Roman"/>
                <w:sz w:val="24"/>
                <w:szCs w:val="24"/>
              </w:rPr>
              <w:t>___________</w:t>
            </w:r>
          </w:p>
          <w:p>
            <w:pPr>
              <w:spacing w:after="0" w:line="240" w:lineRule="auto"/>
              <w:jc w:val="center"/>
              <w:rPr>
                <w:rFonts w:ascii="Times New Roman" w:hAnsi="Times New Roman"/>
                <w:sz w:val="24"/>
                <w:szCs w:val="24"/>
              </w:rPr>
            </w:pPr>
            <w:r>
              <w:rPr>
                <w:rFonts w:ascii="Times New Roman" w:hAnsi="Times New Roman"/>
                <w:sz w:val="20"/>
                <w:szCs w:val="24"/>
              </w:rPr>
              <w:t>(присутствует/отсутствует)</w:t>
            </w:r>
          </w:p>
        </w:tc>
        <w:tc>
          <w:tcPr>
            <w:tcW w:w="4971" w:type="dxa"/>
            <w:gridSpan w:val="15"/>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15.3. Сведения о переходных положениях (при необходимости):</w:t>
            </w:r>
          </w:p>
          <w:p>
            <w:pPr>
              <w:spacing w:after="0" w:line="240" w:lineRule="auto"/>
              <w:jc w:val="center"/>
              <w:rPr>
                <w:rFonts w:ascii="Times New Roman" w:hAnsi="Times New Roman"/>
                <w:sz w:val="24"/>
                <w:szCs w:val="24"/>
              </w:rPr>
            </w:pPr>
            <w:r>
              <w:rPr>
                <w:rFonts w:ascii="Times New Roman" w:hAnsi="Times New Roman"/>
                <w:sz w:val="24"/>
                <w:szCs w:val="24"/>
              </w:rPr>
              <w:t>-</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w:t>
            </w:r>
          </w:p>
          <w:p>
            <w:pPr>
              <w:spacing w:after="0" w:line="240" w:lineRule="auto"/>
              <w:jc w:val="center"/>
              <w:rPr>
                <w:rFonts w:ascii="Times New Roman" w:hAnsi="Times New Roman"/>
                <w:sz w:val="24"/>
                <w:szCs w:val="24"/>
              </w:rPr>
            </w:pPr>
            <w:r>
              <w:rPr>
                <w:rFonts w:ascii="Times New Roman" w:hAnsi="Times New Roman"/>
                <w:sz w:val="20"/>
                <w:szCs w:val="24"/>
              </w:rPr>
              <w:t>(место для текстового описания)</w:t>
            </w:r>
          </w:p>
        </w:tc>
      </w:tr>
      <w:tr>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lastRenderedPageBreak/>
              <w:t>15.4.</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u w:val="single"/>
              </w:rPr>
            </w:pPr>
            <w:r>
              <w:rPr>
                <w:rFonts w:ascii="Times New Roman" w:hAnsi="Times New Roman"/>
                <w:sz w:val="24"/>
                <w:szCs w:val="24"/>
              </w:rPr>
              <w:t xml:space="preserve">Необходимость установления эксперимента: </w:t>
            </w:r>
            <w:r>
              <w:rPr>
                <w:rFonts w:ascii="Times New Roman" w:hAnsi="Times New Roman"/>
                <w:sz w:val="24"/>
                <w:szCs w:val="24"/>
                <w:u w:val="single"/>
              </w:rPr>
              <w:t>отсутствует</w:t>
            </w:r>
          </w:p>
          <w:p>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p>
            <w:pPr>
              <w:spacing w:after="0" w:line="240" w:lineRule="auto"/>
              <w:jc w:val="center"/>
              <w:rPr>
                <w:rFonts w:ascii="Times New Roman" w:hAnsi="Times New Roman"/>
                <w:sz w:val="24"/>
                <w:szCs w:val="24"/>
              </w:rPr>
            </w:pPr>
          </w:p>
        </w:tc>
      </w:tr>
      <w:tr>
        <w:tc>
          <w:tcPr>
            <w:tcW w:w="794" w:type="dxa"/>
            <w:gridSpan w:val="3"/>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15.5.</w:t>
            </w:r>
          </w:p>
        </w:tc>
        <w:tc>
          <w:tcPr>
            <w:tcW w:w="9099" w:type="dxa"/>
            <w:gridSpan w:val="24"/>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rPr>
                <w:rFonts w:ascii="Times New Roman" w:hAnsi="Times New Roman"/>
                <w:sz w:val="24"/>
                <w:szCs w:val="24"/>
              </w:rPr>
            </w:pPr>
            <w:r>
              <w:rPr>
                <w:rFonts w:ascii="Times New Roman" w:hAnsi="Times New Roman"/>
                <w:sz w:val="24"/>
                <w:szCs w:val="24"/>
              </w:rPr>
              <w:t>Сведения о предполагаемом эксперименте (при наличии</w:t>
            </w:r>
            <w:proofErr w:type="gramStart"/>
            <w:r>
              <w:rPr>
                <w:rFonts w:ascii="Times New Roman" w:hAnsi="Times New Roman"/>
                <w:sz w:val="24"/>
                <w:szCs w:val="24"/>
              </w:rPr>
              <w:t>):-</w:t>
            </w:r>
            <w:proofErr w:type="gramEnd"/>
          </w:p>
          <w:p>
            <w:pPr>
              <w:spacing w:after="0" w:line="240" w:lineRule="auto"/>
              <w:jc w:val="center"/>
              <w:rPr>
                <w:rFonts w:ascii="Times New Roman" w:hAnsi="Times New Roman"/>
                <w:sz w:val="20"/>
                <w:szCs w:val="24"/>
              </w:rPr>
            </w:pPr>
            <w:r>
              <w:rPr>
                <w:rFonts w:ascii="Times New Roman" w:hAnsi="Times New Roman"/>
                <w:sz w:val="20"/>
                <w:szCs w:val="24"/>
              </w:rPr>
              <w:t>(для текстового описания)</w:t>
            </w:r>
          </w:p>
        </w:tc>
      </w:tr>
      <w:tr>
        <w:tc>
          <w:tcPr>
            <w:tcW w:w="794" w:type="dxa"/>
            <w:gridSpan w:val="3"/>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rPr>
                <w:rFonts w:ascii="Times New Roman" w:hAnsi="Times New Roman"/>
                <w:sz w:val="24"/>
                <w:szCs w:val="24"/>
              </w:rPr>
            </w:pPr>
          </w:p>
        </w:tc>
        <w:tc>
          <w:tcPr>
            <w:tcW w:w="9099" w:type="dxa"/>
            <w:gridSpan w:val="24"/>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ind w:left="360"/>
              <w:rPr>
                <w:rFonts w:ascii="Times New Roman" w:hAnsi="Times New Roman"/>
                <w:b/>
                <w:sz w:val="16"/>
                <w:szCs w:val="16"/>
              </w:rPr>
            </w:pPr>
          </w:p>
          <w:p>
            <w:pPr>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Иные сведения</w:t>
            </w:r>
          </w:p>
          <w:p>
            <w:pPr>
              <w:spacing w:after="0" w:line="240" w:lineRule="auto"/>
              <w:ind w:left="360"/>
              <w:rPr>
                <w:rFonts w:ascii="Times New Roman" w:hAnsi="Times New Roman"/>
                <w:b/>
                <w:sz w:val="16"/>
                <w:szCs w:val="16"/>
              </w:rPr>
            </w:pPr>
          </w:p>
        </w:tc>
      </w:tr>
      <w:tr>
        <w:tc>
          <w:tcPr>
            <w:tcW w:w="788" w:type="dxa"/>
            <w:gridSpan w:val="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16.1.</w:t>
            </w:r>
          </w:p>
        </w:tc>
        <w:tc>
          <w:tcPr>
            <w:tcW w:w="9105" w:type="dxa"/>
            <w:gridSpan w:val="25"/>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Иные сведения, которые, по мнению регулирующего органа, позволяют оценить обоснованность предлагаемого регулирования:</w:t>
            </w:r>
          </w:p>
          <w:p>
            <w:pPr>
              <w:spacing w:after="0" w:line="240" w:lineRule="auto"/>
              <w:rPr>
                <w:rFonts w:ascii="Times New Roman" w:hAnsi="Times New Roman"/>
                <w:sz w:val="24"/>
                <w:szCs w:val="24"/>
                <w:u w:val="single"/>
              </w:rPr>
            </w:pPr>
            <w:r>
              <w:rPr>
                <w:rFonts w:ascii="Times New Roman" w:hAnsi="Times New Roman"/>
                <w:sz w:val="24"/>
                <w:szCs w:val="24"/>
                <w:u w:val="single"/>
              </w:rPr>
              <w:t>Отсутствуют</w:t>
            </w:r>
          </w:p>
          <w:p>
            <w:pPr>
              <w:spacing w:after="0" w:line="240" w:lineRule="auto"/>
              <w:jc w:val="center"/>
              <w:rPr>
                <w:rFonts w:ascii="Times New Roman" w:hAnsi="Times New Roman"/>
                <w:sz w:val="24"/>
                <w:szCs w:val="24"/>
              </w:rPr>
            </w:pPr>
            <w:r>
              <w:rPr>
                <w:rFonts w:ascii="Times New Roman" w:hAnsi="Times New Roman"/>
                <w:sz w:val="20"/>
                <w:szCs w:val="24"/>
              </w:rPr>
              <w:t>(место для текстового описания)</w:t>
            </w:r>
          </w:p>
        </w:tc>
      </w:tr>
      <w:tr>
        <w:tc>
          <w:tcPr>
            <w:tcW w:w="788" w:type="dxa"/>
            <w:gridSpan w:val="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16.2.</w:t>
            </w:r>
          </w:p>
        </w:tc>
        <w:tc>
          <w:tcPr>
            <w:tcW w:w="9105" w:type="dxa"/>
            <w:gridSpan w:val="25"/>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z w:val="24"/>
                <w:szCs w:val="26"/>
              </w:rPr>
            </w:pPr>
            <w:r>
              <w:rPr>
                <w:rFonts w:ascii="Times New Roman" w:hAnsi="Times New Roman"/>
                <w:sz w:val="24"/>
                <w:szCs w:val="26"/>
              </w:rPr>
              <w:t>Наименование инициатора проекта закона (при наличии):</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p>
            <w:pPr>
              <w:spacing w:after="0" w:line="240" w:lineRule="auto"/>
              <w:jc w:val="center"/>
              <w:rPr>
                <w:rFonts w:ascii="Times New Roman" w:hAnsi="Times New Roman"/>
                <w:sz w:val="24"/>
                <w:szCs w:val="24"/>
              </w:rPr>
            </w:pPr>
          </w:p>
        </w:tc>
      </w:tr>
      <w:tr>
        <w:tc>
          <w:tcPr>
            <w:tcW w:w="788" w:type="dxa"/>
            <w:gridSpan w:val="2"/>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ascii="Times New Roman" w:hAnsi="Times New Roman"/>
                <w:sz w:val="24"/>
                <w:szCs w:val="24"/>
              </w:rPr>
            </w:pPr>
            <w:r>
              <w:rPr>
                <w:rFonts w:ascii="Times New Roman" w:hAnsi="Times New Roman"/>
                <w:sz w:val="24"/>
                <w:szCs w:val="24"/>
              </w:rPr>
              <w:t>16.3.</w:t>
            </w:r>
          </w:p>
        </w:tc>
        <w:tc>
          <w:tcPr>
            <w:tcW w:w="9105" w:type="dxa"/>
            <w:gridSpan w:val="25"/>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Сведения о приложениях к сводному отчету (при наличии):</w:t>
            </w:r>
          </w:p>
          <w:p>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pPr>
              <w:spacing w:after="0" w:line="240" w:lineRule="auto"/>
              <w:jc w:val="center"/>
              <w:rPr>
                <w:rFonts w:ascii="Times New Roman" w:hAnsi="Times New Roman"/>
                <w:sz w:val="20"/>
                <w:szCs w:val="24"/>
              </w:rPr>
            </w:pPr>
            <w:r>
              <w:rPr>
                <w:rFonts w:ascii="Times New Roman" w:hAnsi="Times New Roman"/>
                <w:sz w:val="20"/>
                <w:szCs w:val="24"/>
              </w:rPr>
              <w:t>(место для текстового описания)</w:t>
            </w:r>
          </w:p>
          <w:p>
            <w:pPr>
              <w:spacing w:after="0" w:line="240" w:lineRule="auto"/>
              <w:jc w:val="center"/>
              <w:rPr>
                <w:rFonts w:ascii="Times New Roman" w:hAnsi="Times New Roman"/>
                <w:sz w:val="24"/>
                <w:szCs w:val="24"/>
              </w:rPr>
            </w:pPr>
          </w:p>
        </w:tc>
      </w:tr>
      <w:tr>
        <w:tc>
          <w:tcPr>
            <w:tcW w:w="3067" w:type="dxa"/>
            <w:gridSpan w:val="6"/>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jc w:val="center"/>
              <w:rPr>
                <w:rFonts w:ascii="Times New Roman" w:hAnsi="Times New Roman"/>
                <w:sz w:val="24"/>
                <w:szCs w:val="24"/>
              </w:rPr>
            </w:pPr>
          </w:p>
          <w:p>
            <w:pPr>
              <w:spacing w:after="0" w:line="240" w:lineRule="auto"/>
              <w:jc w:val="center"/>
              <w:rPr>
                <w:rFonts w:ascii="Times New Roman" w:hAnsi="Times New Roman"/>
                <w:sz w:val="24"/>
                <w:szCs w:val="24"/>
              </w:rPr>
            </w:pPr>
            <w:r>
              <w:rPr>
                <w:rFonts w:ascii="Times New Roman" w:hAnsi="Times New Roman"/>
                <w:sz w:val="24"/>
                <w:szCs w:val="24"/>
              </w:rPr>
              <w:t>Председатель Государственного комитета по гражданской обороне, чрезвычайным ситуациям и пожарной безопасности Республики Хакасия</w:t>
            </w:r>
          </w:p>
        </w:tc>
        <w:tc>
          <w:tcPr>
            <w:tcW w:w="676" w:type="dxa"/>
            <w:gridSpan w:val="5"/>
            <w:tcBorders>
              <w:top w:val="single" w:sz="4" w:space="0" w:color="auto"/>
              <w:left w:val="none" w:sz="4" w:space="0" w:color="000000"/>
              <w:bottom w:val="none" w:sz="4" w:space="0" w:color="000000"/>
              <w:right w:val="none" w:sz="4" w:space="0" w:color="000000"/>
            </w:tcBorders>
            <w:shd w:val="clear" w:color="auto" w:fill="auto"/>
          </w:tcPr>
          <w:p>
            <w:pPr>
              <w:spacing w:after="0" w:line="240" w:lineRule="auto"/>
              <w:jc w:val="center"/>
              <w:rPr>
                <w:rFonts w:ascii="Times New Roman" w:hAnsi="Times New Roman"/>
                <w:sz w:val="24"/>
                <w:szCs w:val="24"/>
              </w:rPr>
            </w:pPr>
          </w:p>
        </w:tc>
        <w:tc>
          <w:tcPr>
            <w:tcW w:w="2548" w:type="dxa"/>
            <w:gridSpan w:val="7"/>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jc w:val="center"/>
              <w:rPr>
                <w:rFonts w:ascii="Times New Roman" w:hAnsi="Times New Roman"/>
                <w:sz w:val="24"/>
                <w:szCs w:val="24"/>
              </w:rPr>
            </w:pPr>
          </w:p>
        </w:tc>
        <w:tc>
          <w:tcPr>
            <w:tcW w:w="597" w:type="dxa"/>
            <w:gridSpan w:val="5"/>
            <w:tcBorders>
              <w:top w:val="single" w:sz="4" w:space="0" w:color="auto"/>
              <w:left w:val="none" w:sz="4" w:space="0" w:color="000000"/>
              <w:bottom w:val="none" w:sz="4" w:space="0" w:color="000000"/>
              <w:right w:val="none" w:sz="4" w:space="0" w:color="000000"/>
            </w:tcBorders>
            <w:shd w:val="clear" w:color="auto" w:fill="auto"/>
          </w:tcPr>
          <w:p>
            <w:pPr>
              <w:spacing w:after="0" w:line="240" w:lineRule="auto"/>
              <w:jc w:val="center"/>
              <w:rPr>
                <w:rFonts w:ascii="Times New Roman" w:hAnsi="Times New Roman"/>
                <w:sz w:val="24"/>
                <w:szCs w:val="24"/>
              </w:rPr>
            </w:pPr>
          </w:p>
        </w:tc>
        <w:tc>
          <w:tcPr>
            <w:tcW w:w="3005" w:type="dxa"/>
            <w:gridSpan w:val="4"/>
            <w:tcBorders>
              <w:top w:val="single" w:sz="4" w:space="0" w:color="auto"/>
              <w:left w:val="none" w:sz="4" w:space="0" w:color="000000"/>
              <w:bottom w:val="single" w:sz="4" w:space="0" w:color="auto"/>
              <w:right w:val="none" w:sz="4" w:space="0" w:color="000000"/>
            </w:tcBorders>
            <w:shd w:val="clear" w:color="auto" w:fill="auto"/>
          </w:tcPr>
          <w:p>
            <w:pPr>
              <w:spacing w:after="0" w:line="240" w:lineRule="auto"/>
              <w:jc w:val="center"/>
              <w:rPr>
                <w:rFonts w:ascii="Times New Roman" w:hAnsi="Times New Roman"/>
                <w:sz w:val="24"/>
                <w:szCs w:val="24"/>
              </w:rPr>
            </w:pPr>
          </w:p>
          <w:p>
            <w:pPr>
              <w:spacing w:after="0" w:line="240" w:lineRule="auto"/>
              <w:jc w:val="center"/>
              <w:rPr>
                <w:rFonts w:ascii="Times New Roman" w:hAnsi="Times New Roman"/>
                <w:sz w:val="24"/>
                <w:szCs w:val="24"/>
              </w:rPr>
            </w:pPr>
          </w:p>
          <w:p>
            <w:pPr>
              <w:spacing w:after="0" w:line="240" w:lineRule="auto"/>
              <w:jc w:val="center"/>
              <w:rPr>
                <w:rFonts w:ascii="Times New Roman" w:hAnsi="Times New Roman"/>
                <w:sz w:val="24"/>
                <w:szCs w:val="24"/>
              </w:rPr>
            </w:pPr>
          </w:p>
          <w:p>
            <w:pPr>
              <w:spacing w:after="0" w:line="240" w:lineRule="auto"/>
              <w:jc w:val="center"/>
              <w:rPr>
                <w:rFonts w:ascii="Times New Roman" w:hAnsi="Times New Roman"/>
                <w:sz w:val="24"/>
                <w:szCs w:val="24"/>
              </w:rPr>
            </w:pPr>
          </w:p>
          <w:p>
            <w:pPr>
              <w:spacing w:after="0" w:line="240" w:lineRule="auto"/>
              <w:jc w:val="center"/>
              <w:rPr>
                <w:rFonts w:ascii="Times New Roman" w:hAnsi="Times New Roman"/>
                <w:sz w:val="24"/>
                <w:szCs w:val="24"/>
              </w:rPr>
            </w:pPr>
          </w:p>
          <w:p>
            <w:pPr>
              <w:spacing w:after="0" w:line="240" w:lineRule="auto"/>
              <w:jc w:val="center"/>
              <w:rPr>
                <w:rFonts w:ascii="Times New Roman" w:hAnsi="Times New Roman"/>
                <w:sz w:val="24"/>
                <w:szCs w:val="24"/>
              </w:rPr>
            </w:pPr>
          </w:p>
          <w:p>
            <w:pPr>
              <w:spacing w:after="0" w:line="240" w:lineRule="auto"/>
              <w:jc w:val="center"/>
              <w:rPr>
                <w:rFonts w:ascii="Times New Roman" w:hAnsi="Times New Roman"/>
                <w:sz w:val="24"/>
                <w:szCs w:val="24"/>
              </w:rPr>
            </w:pPr>
          </w:p>
          <w:p>
            <w:pPr>
              <w:spacing w:after="0" w:line="240" w:lineRule="auto"/>
              <w:jc w:val="center"/>
              <w:rPr>
                <w:rFonts w:ascii="Times New Roman" w:hAnsi="Times New Roman"/>
                <w:sz w:val="24"/>
                <w:szCs w:val="24"/>
              </w:rPr>
            </w:pPr>
            <w:r>
              <w:rPr>
                <w:rFonts w:ascii="Times New Roman" w:hAnsi="Times New Roman"/>
                <w:sz w:val="24"/>
                <w:szCs w:val="24"/>
              </w:rPr>
              <w:t xml:space="preserve">В.В. </w:t>
            </w:r>
            <w:proofErr w:type="spellStart"/>
            <w:r>
              <w:rPr>
                <w:rFonts w:ascii="Times New Roman" w:hAnsi="Times New Roman"/>
                <w:sz w:val="24"/>
                <w:szCs w:val="24"/>
              </w:rPr>
              <w:t>Карамашев</w:t>
            </w:r>
            <w:proofErr w:type="spellEnd"/>
          </w:p>
        </w:tc>
      </w:tr>
      <w:tr>
        <w:tc>
          <w:tcPr>
            <w:tcW w:w="3067" w:type="dxa"/>
            <w:gridSpan w:val="6"/>
            <w:tcBorders>
              <w:top w:val="single" w:sz="4" w:space="0" w:color="auto"/>
              <w:left w:val="none" w:sz="4" w:space="0" w:color="000000"/>
              <w:bottom w:val="none" w:sz="4" w:space="0" w:color="000000"/>
              <w:right w:val="none" w:sz="4" w:space="0" w:color="000000"/>
            </w:tcBorders>
            <w:shd w:val="clear" w:color="auto" w:fill="auto"/>
          </w:tcPr>
          <w:p>
            <w:pPr>
              <w:spacing w:after="0" w:line="240" w:lineRule="auto"/>
              <w:jc w:val="center"/>
              <w:rPr>
                <w:rFonts w:ascii="Times New Roman" w:hAnsi="Times New Roman"/>
                <w:sz w:val="24"/>
                <w:szCs w:val="24"/>
              </w:rPr>
            </w:pPr>
            <w:r>
              <w:rPr>
                <w:rFonts w:ascii="Times New Roman" w:hAnsi="Times New Roman"/>
                <w:sz w:val="20"/>
                <w:szCs w:val="24"/>
              </w:rPr>
              <w:t>(наименование должности)</w:t>
            </w:r>
          </w:p>
        </w:tc>
        <w:tc>
          <w:tcPr>
            <w:tcW w:w="676" w:type="dxa"/>
            <w:gridSpan w:val="5"/>
            <w:tcBorders>
              <w:top w:val="none" w:sz="4" w:space="0" w:color="000000"/>
              <w:left w:val="none" w:sz="4" w:space="0" w:color="000000"/>
              <w:bottom w:val="none" w:sz="4" w:space="0" w:color="000000"/>
              <w:right w:val="none" w:sz="4" w:space="0" w:color="000000"/>
            </w:tcBorders>
            <w:shd w:val="clear" w:color="auto" w:fill="auto"/>
          </w:tcPr>
          <w:p>
            <w:pPr>
              <w:spacing w:after="0" w:line="240" w:lineRule="auto"/>
              <w:jc w:val="center"/>
              <w:rPr>
                <w:rFonts w:ascii="Times New Roman" w:hAnsi="Times New Roman"/>
                <w:sz w:val="24"/>
                <w:szCs w:val="24"/>
              </w:rPr>
            </w:pPr>
          </w:p>
        </w:tc>
        <w:tc>
          <w:tcPr>
            <w:tcW w:w="2548" w:type="dxa"/>
            <w:gridSpan w:val="7"/>
            <w:tcBorders>
              <w:top w:val="none" w:sz="4" w:space="0" w:color="000000"/>
              <w:left w:val="none" w:sz="4" w:space="0" w:color="000000"/>
              <w:bottom w:val="none" w:sz="4" w:space="0" w:color="000000"/>
              <w:right w:val="none" w:sz="4" w:space="0" w:color="000000"/>
            </w:tcBorders>
            <w:shd w:val="clear" w:color="auto" w:fill="auto"/>
          </w:tcPr>
          <w:p>
            <w:pPr>
              <w:spacing w:after="0" w:line="240" w:lineRule="auto"/>
              <w:jc w:val="center"/>
              <w:rPr>
                <w:rFonts w:ascii="Times New Roman" w:hAnsi="Times New Roman"/>
                <w:sz w:val="24"/>
                <w:szCs w:val="24"/>
              </w:rPr>
            </w:pPr>
            <w:r>
              <w:rPr>
                <w:rFonts w:ascii="Times New Roman" w:hAnsi="Times New Roman"/>
                <w:sz w:val="20"/>
                <w:szCs w:val="24"/>
              </w:rPr>
              <w:t>(подпись)</w:t>
            </w:r>
          </w:p>
        </w:tc>
        <w:tc>
          <w:tcPr>
            <w:tcW w:w="597" w:type="dxa"/>
            <w:gridSpan w:val="5"/>
            <w:tcBorders>
              <w:top w:val="none" w:sz="4" w:space="0" w:color="000000"/>
              <w:left w:val="none" w:sz="4" w:space="0" w:color="000000"/>
              <w:bottom w:val="none" w:sz="4" w:space="0" w:color="000000"/>
              <w:right w:val="none" w:sz="4" w:space="0" w:color="000000"/>
            </w:tcBorders>
            <w:shd w:val="clear" w:color="auto" w:fill="auto"/>
          </w:tcPr>
          <w:p>
            <w:pPr>
              <w:spacing w:after="0" w:line="240" w:lineRule="auto"/>
              <w:jc w:val="center"/>
              <w:rPr>
                <w:rFonts w:ascii="Times New Roman" w:hAnsi="Times New Roman"/>
                <w:sz w:val="24"/>
                <w:szCs w:val="24"/>
              </w:rPr>
            </w:pPr>
          </w:p>
        </w:tc>
        <w:tc>
          <w:tcPr>
            <w:tcW w:w="3005" w:type="dxa"/>
            <w:gridSpan w:val="4"/>
            <w:tcBorders>
              <w:top w:val="none" w:sz="4" w:space="0" w:color="000000"/>
              <w:left w:val="none" w:sz="4" w:space="0" w:color="000000"/>
              <w:bottom w:val="none" w:sz="4" w:space="0" w:color="000000"/>
              <w:right w:val="none" w:sz="4" w:space="0" w:color="000000"/>
            </w:tcBorders>
            <w:shd w:val="clear" w:color="auto" w:fill="auto"/>
          </w:tcPr>
          <w:p>
            <w:pPr>
              <w:spacing w:after="0" w:line="240" w:lineRule="auto"/>
              <w:jc w:val="center"/>
              <w:rPr>
                <w:rFonts w:ascii="Times New Roman" w:hAnsi="Times New Roman"/>
                <w:sz w:val="24"/>
                <w:szCs w:val="24"/>
              </w:rPr>
            </w:pPr>
            <w:r>
              <w:rPr>
                <w:rFonts w:ascii="Times New Roman" w:hAnsi="Times New Roman"/>
                <w:sz w:val="20"/>
                <w:szCs w:val="24"/>
              </w:rPr>
              <w:t>(фамилия, инициалы лица)</w:t>
            </w:r>
          </w:p>
        </w:tc>
      </w:tr>
    </w:tbl>
    <w:p>
      <w:pPr>
        <w:shd w:val="clear" w:color="auto" w:fill="FFFFFF"/>
        <w:spacing w:after="0" w:line="240" w:lineRule="auto"/>
        <w:jc w:val="both"/>
        <w:rPr>
          <w:rFonts w:ascii="Times New Roman" w:hAnsi="Times New Roman"/>
          <w:sz w:val="26"/>
          <w:szCs w:val="26"/>
        </w:rPr>
      </w:pPr>
    </w:p>
    <w:p>
      <w:pPr>
        <w:shd w:val="clear" w:color="auto" w:fill="FFFFFF"/>
        <w:spacing w:after="0" w:line="240" w:lineRule="auto"/>
        <w:jc w:val="both"/>
        <w:rPr>
          <w:rFonts w:ascii="Times New Roman" w:hAnsi="Times New Roman"/>
          <w:sz w:val="26"/>
          <w:szCs w:val="26"/>
        </w:rPr>
      </w:pPr>
    </w:p>
    <w:p>
      <w:pPr>
        <w:shd w:val="clear" w:color="auto" w:fill="FFFFFF"/>
        <w:spacing w:after="0" w:line="240" w:lineRule="auto"/>
        <w:jc w:val="both"/>
        <w:rPr>
          <w:rFonts w:ascii="Times New Roman" w:hAnsi="Times New Roman"/>
          <w:sz w:val="26"/>
          <w:szCs w:val="26"/>
        </w:rPr>
      </w:pPr>
    </w:p>
    <w:p>
      <w:pPr>
        <w:shd w:val="clear" w:color="auto" w:fill="FFFFFF"/>
        <w:spacing w:after="0" w:line="240" w:lineRule="auto"/>
        <w:jc w:val="both"/>
        <w:rPr>
          <w:rFonts w:ascii="Times New Roman" w:hAnsi="Times New Roman"/>
          <w:sz w:val="26"/>
          <w:szCs w:val="26"/>
        </w:rPr>
      </w:pPr>
    </w:p>
    <w:p>
      <w:pPr>
        <w:shd w:val="clear" w:color="auto" w:fill="FFFFFF"/>
        <w:spacing w:after="0" w:line="240" w:lineRule="auto"/>
        <w:jc w:val="both"/>
        <w:rPr>
          <w:rFonts w:ascii="Times New Roman" w:hAnsi="Times New Roman"/>
          <w:sz w:val="26"/>
          <w:szCs w:val="26"/>
        </w:rPr>
      </w:pPr>
    </w:p>
    <w:p>
      <w:pPr>
        <w:shd w:val="clear" w:color="auto" w:fill="FFFFFF"/>
        <w:spacing w:after="0" w:line="240" w:lineRule="auto"/>
        <w:jc w:val="both"/>
        <w:rPr>
          <w:rFonts w:ascii="Times New Roman" w:hAnsi="Times New Roman"/>
          <w:sz w:val="26"/>
          <w:szCs w:val="26"/>
        </w:rPr>
      </w:pPr>
    </w:p>
    <w:p>
      <w:pPr>
        <w:shd w:val="clear" w:color="auto" w:fill="FFFFFF"/>
        <w:spacing w:after="0" w:line="240" w:lineRule="auto"/>
        <w:jc w:val="both"/>
        <w:rPr>
          <w:rFonts w:ascii="Times New Roman" w:hAnsi="Times New Roman"/>
          <w:sz w:val="26"/>
          <w:szCs w:val="26"/>
        </w:rPr>
      </w:pPr>
    </w:p>
    <w:p>
      <w:pPr>
        <w:shd w:val="clear" w:color="auto" w:fill="FFFFFF"/>
        <w:spacing w:after="0" w:line="240" w:lineRule="auto"/>
        <w:jc w:val="both"/>
        <w:rPr>
          <w:rFonts w:ascii="Times New Roman" w:hAnsi="Times New Roman"/>
          <w:sz w:val="26"/>
          <w:szCs w:val="26"/>
        </w:rPr>
      </w:pPr>
    </w:p>
    <w:p>
      <w:pPr>
        <w:shd w:val="clear" w:color="auto" w:fill="FFFFFF"/>
        <w:spacing w:after="0" w:line="240" w:lineRule="auto"/>
        <w:jc w:val="both"/>
        <w:rPr>
          <w:rFonts w:ascii="Times New Roman" w:hAnsi="Times New Roman"/>
          <w:sz w:val="26"/>
          <w:szCs w:val="26"/>
        </w:rPr>
      </w:pPr>
    </w:p>
    <w:p>
      <w:pPr>
        <w:shd w:val="clear" w:color="auto" w:fill="FFFFFF"/>
        <w:spacing w:after="0" w:line="240" w:lineRule="auto"/>
        <w:jc w:val="both"/>
        <w:rPr>
          <w:rFonts w:ascii="Times New Roman" w:hAnsi="Times New Roman"/>
          <w:sz w:val="26"/>
          <w:szCs w:val="26"/>
        </w:rPr>
      </w:pPr>
    </w:p>
    <w:p>
      <w:pPr>
        <w:shd w:val="clear" w:color="auto" w:fill="FFFFFF"/>
        <w:spacing w:after="0" w:line="240" w:lineRule="auto"/>
        <w:jc w:val="both"/>
        <w:rPr>
          <w:rFonts w:ascii="Times New Roman" w:hAnsi="Times New Roman"/>
          <w:sz w:val="26"/>
          <w:szCs w:val="26"/>
        </w:rPr>
      </w:pPr>
      <w:r>
        <w:rPr>
          <w:rFonts w:ascii="Times New Roman" w:hAnsi="Times New Roman"/>
          <w:sz w:val="26"/>
          <w:szCs w:val="26"/>
        </w:rPr>
        <w:t>&lt;*&gt; не подлежит заполнению для проектов нормативных правовых актов Республики Хакасия, имеющих среднюю и низкую степень регулирующего воздействия.</w:t>
      </w:r>
    </w:p>
    <w:p>
      <w:pPr>
        <w:shd w:val="clear" w:color="auto" w:fill="FFFFFF"/>
        <w:spacing w:after="0" w:line="240" w:lineRule="auto"/>
        <w:jc w:val="both"/>
        <w:rPr>
          <w:rFonts w:ascii="Times New Roman" w:hAnsi="Times New Roman"/>
          <w:sz w:val="26"/>
          <w:szCs w:val="26"/>
        </w:rPr>
      </w:pPr>
      <w:r>
        <w:rPr>
          <w:rFonts w:ascii="Times New Roman" w:hAnsi="Times New Roman"/>
          <w:sz w:val="26"/>
          <w:szCs w:val="26"/>
        </w:rPr>
        <w:t>&lt;**&gt; не подлежит заполнению для проектов нормативных правовых актов Республики Хакасия, имеющих низкую степень регулирующего воздействия.</w:t>
      </w:r>
    </w:p>
    <w:sectPr>
      <w:headerReference w:type="default" r:id="rId8"/>
      <w:pgSz w:w="12240" w:h="15840"/>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f7"/>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noProof/>
        <w:sz w:val="24"/>
        <w:szCs w:val="24"/>
      </w:rPr>
      <w:t>10</w:t>
    </w:r>
    <w:r>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53373"/>
    <w:multiLevelType w:val="hybridMultilevel"/>
    <w:tmpl w:val="EB3E4838"/>
    <w:lvl w:ilvl="0" w:tplc="203AADCA">
      <w:start w:val="1"/>
      <w:numFmt w:val="decimal"/>
      <w:lvlText w:val="%1."/>
      <w:lvlJc w:val="left"/>
      <w:pPr>
        <w:ind w:left="1069" w:hanging="360"/>
      </w:pPr>
      <w:rPr>
        <w:rFonts w:hint="default"/>
      </w:rPr>
    </w:lvl>
    <w:lvl w:ilvl="1" w:tplc="BF98E54C">
      <w:start w:val="1"/>
      <w:numFmt w:val="lowerLetter"/>
      <w:lvlText w:val="%2."/>
      <w:lvlJc w:val="left"/>
      <w:pPr>
        <w:ind w:left="1789" w:hanging="360"/>
      </w:pPr>
    </w:lvl>
    <w:lvl w:ilvl="2" w:tplc="3BEAF18E">
      <w:start w:val="1"/>
      <w:numFmt w:val="lowerRoman"/>
      <w:lvlText w:val="%3."/>
      <w:lvlJc w:val="right"/>
      <w:pPr>
        <w:ind w:left="2509" w:hanging="180"/>
      </w:pPr>
    </w:lvl>
    <w:lvl w:ilvl="3" w:tplc="85B62CE2">
      <w:start w:val="1"/>
      <w:numFmt w:val="decimal"/>
      <w:lvlText w:val="%4."/>
      <w:lvlJc w:val="left"/>
      <w:pPr>
        <w:ind w:left="3229" w:hanging="360"/>
      </w:pPr>
    </w:lvl>
    <w:lvl w:ilvl="4" w:tplc="2A263A84">
      <w:start w:val="1"/>
      <w:numFmt w:val="lowerLetter"/>
      <w:lvlText w:val="%5."/>
      <w:lvlJc w:val="left"/>
      <w:pPr>
        <w:ind w:left="3949" w:hanging="360"/>
      </w:pPr>
    </w:lvl>
    <w:lvl w:ilvl="5" w:tplc="500402B0">
      <w:start w:val="1"/>
      <w:numFmt w:val="lowerRoman"/>
      <w:lvlText w:val="%6."/>
      <w:lvlJc w:val="right"/>
      <w:pPr>
        <w:ind w:left="4669" w:hanging="180"/>
      </w:pPr>
    </w:lvl>
    <w:lvl w:ilvl="6" w:tplc="74647C56">
      <w:start w:val="1"/>
      <w:numFmt w:val="decimal"/>
      <w:lvlText w:val="%7."/>
      <w:lvlJc w:val="left"/>
      <w:pPr>
        <w:ind w:left="5389" w:hanging="360"/>
      </w:pPr>
    </w:lvl>
    <w:lvl w:ilvl="7" w:tplc="64EE7D48">
      <w:start w:val="1"/>
      <w:numFmt w:val="lowerLetter"/>
      <w:lvlText w:val="%8."/>
      <w:lvlJc w:val="left"/>
      <w:pPr>
        <w:ind w:left="6109" w:hanging="360"/>
      </w:pPr>
    </w:lvl>
    <w:lvl w:ilvl="8" w:tplc="AA8C3C34">
      <w:start w:val="1"/>
      <w:numFmt w:val="lowerRoman"/>
      <w:lvlText w:val="%9."/>
      <w:lvlJc w:val="right"/>
      <w:pPr>
        <w:ind w:left="6829" w:hanging="180"/>
      </w:pPr>
    </w:lvl>
  </w:abstractNum>
  <w:abstractNum w:abstractNumId="1" w15:restartNumberingAfterBreak="0">
    <w:nsid w:val="07660BEC"/>
    <w:multiLevelType w:val="hybridMultilevel"/>
    <w:tmpl w:val="32929C4A"/>
    <w:lvl w:ilvl="0" w:tplc="367A4604">
      <w:start w:val="1"/>
      <w:numFmt w:val="decimal"/>
      <w:lvlText w:val="%1."/>
      <w:lvlJc w:val="left"/>
      <w:pPr>
        <w:ind w:left="927" w:hanging="360"/>
      </w:pPr>
      <w:rPr>
        <w:rFonts w:hint="default"/>
        <w:color w:val="000000"/>
      </w:rPr>
    </w:lvl>
    <w:lvl w:ilvl="1" w:tplc="6360CE56">
      <w:start w:val="1"/>
      <w:numFmt w:val="lowerLetter"/>
      <w:lvlText w:val="%2."/>
      <w:lvlJc w:val="left"/>
      <w:pPr>
        <w:ind w:left="1647" w:hanging="360"/>
      </w:pPr>
    </w:lvl>
    <w:lvl w:ilvl="2" w:tplc="659C98EA">
      <w:start w:val="1"/>
      <w:numFmt w:val="lowerRoman"/>
      <w:lvlText w:val="%3."/>
      <w:lvlJc w:val="right"/>
      <w:pPr>
        <w:ind w:left="2367" w:hanging="180"/>
      </w:pPr>
    </w:lvl>
    <w:lvl w:ilvl="3" w:tplc="E27C2D42">
      <w:start w:val="1"/>
      <w:numFmt w:val="decimal"/>
      <w:lvlText w:val="%4."/>
      <w:lvlJc w:val="left"/>
      <w:pPr>
        <w:ind w:left="3087" w:hanging="360"/>
      </w:pPr>
    </w:lvl>
    <w:lvl w:ilvl="4" w:tplc="A92EC966">
      <w:start w:val="1"/>
      <w:numFmt w:val="lowerLetter"/>
      <w:lvlText w:val="%5."/>
      <w:lvlJc w:val="left"/>
      <w:pPr>
        <w:ind w:left="3807" w:hanging="360"/>
      </w:pPr>
    </w:lvl>
    <w:lvl w:ilvl="5" w:tplc="F29CFBC2">
      <w:start w:val="1"/>
      <w:numFmt w:val="lowerRoman"/>
      <w:lvlText w:val="%6."/>
      <w:lvlJc w:val="right"/>
      <w:pPr>
        <w:ind w:left="4527" w:hanging="180"/>
      </w:pPr>
    </w:lvl>
    <w:lvl w:ilvl="6" w:tplc="E8AE1D56">
      <w:start w:val="1"/>
      <w:numFmt w:val="decimal"/>
      <w:lvlText w:val="%7."/>
      <w:lvlJc w:val="left"/>
      <w:pPr>
        <w:ind w:left="5247" w:hanging="360"/>
      </w:pPr>
    </w:lvl>
    <w:lvl w:ilvl="7" w:tplc="DA44FFAE">
      <w:start w:val="1"/>
      <w:numFmt w:val="lowerLetter"/>
      <w:lvlText w:val="%8."/>
      <w:lvlJc w:val="left"/>
      <w:pPr>
        <w:ind w:left="5967" w:hanging="360"/>
      </w:pPr>
    </w:lvl>
    <w:lvl w:ilvl="8" w:tplc="428C6F68">
      <w:start w:val="1"/>
      <w:numFmt w:val="lowerRoman"/>
      <w:lvlText w:val="%9."/>
      <w:lvlJc w:val="right"/>
      <w:pPr>
        <w:ind w:left="6687" w:hanging="180"/>
      </w:pPr>
    </w:lvl>
  </w:abstractNum>
  <w:abstractNum w:abstractNumId="2" w15:restartNumberingAfterBreak="0">
    <w:nsid w:val="07CF34FB"/>
    <w:multiLevelType w:val="multilevel"/>
    <w:tmpl w:val="7D34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547D2"/>
    <w:multiLevelType w:val="hybridMultilevel"/>
    <w:tmpl w:val="2DBC0D3A"/>
    <w:lvl w:ilvl="0" w:tplc="DB26D3D0">
      <w:start w:val="1"/>
      <w:numFmt w:val="decimal"/>
      <w:lvlText w:val="%1)"/>
      <w:lvlJc w:val="left"/>
      <w:pPr>
        <w:ind w:left="1429" w:hanging="360"/>
      </w:pPr>
    </w:lvl>
    <w:lvl w:ilvl="1" w:tplc="841CACCE">
      <w:start w:val="1"/>
      <w:numFmt w:val="lowerLetter"/>
      <w:lvlText w:val="%2."/>
      <w:lvlJc w:val="left"/>
      <w:pPr>
        <w:ind w:left="2149" w:hanging="360"/>
      </w:pPr>
    </w:lvl>
    <w:lvl w:ilvl="2" w:tplc="0BA03C22">
      <w:start w:val="1"/>
      <w:numFmt w:val="lowerRoman"/>
      <w:lvlText w:val="%3."/>
      <w:lvlJc w:val="right"/>
      <w:pPr>
        <w:ind w:left="2869" w:hanging="180"/>
      </w:pPr>
    </w:lvl>
    <w:lvl w:ilvl="3" w:tplc="30DCBBE6">
      <w:start w:val="1"/>
      <w:numFmt w:val="decimal"/>
      <w:lvlText w:val="%4."/>
      <w:lvlJc w:val="left"/>
      <w:pPr>
        <w:ind w:left="3589" w:hanging="360"/>
      </w:pPr>
    </w:lvl>
    <w:lvl w:ilvl="4" w:tplc="12824558">
      <w:start w:val="1"/>
      <w:numFmt w:val="lowerLetter"/>
      <w:lvlText w:val="%5."/>
      <w:lvlJc w:val="left"/>
      <w:pPr>
        <w:ind w:left="4309" w:hanging="360"/>
      </w:pPr>
    </w:lvl>
    <w:lvl w:ilvl="5" w:tplc="D6D2AE32">
      <w:start w:val="1"/>
      <w:numFmt w:val="lowerRoman"/>
      <w:lvlText w:val="%6."/>
      <w:lvlJc w:val="right"/>
      <w:pPr>
        <w:ind w:left="5029" w:hanging="180"/>
      </w:pPr>
    </w:lvl>
    <w:lvl w:ilvl="6" w:tplc="63C60E6A">
      <w:start w:val="1"/>
      <w:numFmt w:val="decimal"/>
      <w:lvlText w:val="%7."/>
      <w:lvlJc w:val="left"/>
      <w:pPr>
        <w:ind w:left="5749" w:hanging="360"/>
      </w:pPr>
    </w:lvl>
    <w:lvl w:ilvl="7" w:tplc="7BD87EFA">
      <w:start w:val="1"/>
      <w:numFmt w:val="lowerLetter"/>
      <w:lvlText w:val="%8."/>
      <w:lvlJc w:val="left"/>
      <w:pPr>
        <w:ind w:left="6469" w:hanging="360"/>
      </w:pPr>
    </w:lvl>
    <w:lvl w:ilvl="8" w:tplc="B31CC1C6">
      <w:start w:val="1"/>
      <w:numFmt w:val="lowerRoman"/>
      <w:lvlText w:val="%9."/>
      <w:lvlJc w:val="right"/>
      <w:pPr>
        <w:ind w:left="7189" w:hanging="180"/>
      </w:pPr>
    </w:lvl>
  </w:abstractNum>
  <w:abstractNum w:abstractNumId="4" w15:restartNumberingAfterBreak="0">
    <w:nsid w:val="0AC85B95"/>
    <w:multiLevelType w:val="multilevel"/>
    <w:tmpl w:val="19122512"/>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4023625"/>
    <w:multiLevelType w:val="hybridMultilevel"/>
    <w:tmpl w:val="C1A44A28"/>
    <w:lvl w:ilvl="0" w:tplc="56764F5C">
      <w:start w:val="1"/>
      <w:numFmt w:val="decimal"/>
      <w:lvlText w:val="%1)"/>
      <w:lvlJc w:val="left"/>
      <w:pPr>
        <w:ind w:left="1429" w:hanging="360"/>
      </w:pPr>
    </w:lvl>
    <w:lvl w:ilvl="1" w:tplc="CDF24A82">
      <w:start w:val="1"/>
      <w:numFmt w:val="lowerLetter"/>
      <w:lvlText w:val="%2."/>
      <w:lvlJc w:val="left"/>
      <w:pPr>
        <w:ind w:left="2149" w:hanging="360"/>
      </w:pPr>
    </w:lvl>
    <w:lvl w:ilvl="2" w:tplc="F538E752">
      <w:start w:val="1"/>
      <w:numFmt w:val="lowerRoman"/>
      <w:lvlText w:val="%3."/>
      <w:lvlJc w:val="right"/>
      <w:pPr>
        <w:ind w:left="2869" w:hanging="180"/>
      </w:pPr>
    </w:lvl>
    <w:lvl w:ilvl="3" w:tplc="F5B6E69A">
      <w:start w:val="1"/>
      <w:numFmt w:val="decimal"/>
      <w:lvlText w:val="%4."/>
      <w:lvlJc w:val="left"/>
      <w:pPr>
        <w:ind w:left="3589" w:hanging="360"/>
      </w:pPr>
    </w:lvl>
    <w:lvl w:ilvl="4" w:tplc="3A5EBA58">
      <w:start w:val="1"/>
      <w:numFmt w:val="lowerLetter"/>
      <w:lvlText w:val="%5."/>
      <w:lvlJc w:val="left"/>
      <w:pPr>
        <w:ind w:left="4309" w:hanging="360"/>
      </w:pPr>
    </w:lvl>
    <w:lvl w:ilvl="5" w:tplc="4F8E4C76">
      <w:start w:val="1"/>
      <w:numFmt w:val="lowerRoman"/>
      <w:lvlText w:val="%6."/>
      <w:lvlJc w:val="right"/>
      <w:pPr>
        <w:ind w:left="5029" w:hanging="180"/>
      </w:pPr>
    </w:lvl>
    <w:lvl w:ilvl="6" w:tplc="B42C8274">
      <w:start w:val="1"/>
      <w:numFmt w:val="decimal"/>
      <w:lvlText w:val="%7."/>
      <w:lvlJc w:val="left"/>
      <w:pPr>
        <w:ind w:left="5749" w:hanging="360"/>
      </w:pPr>
    </w:lvl>
    <w:lvl w:ilvl="7" w:tplc="0C4ABBA4">
      <w:start w:val="1"/>
      <w:numFmt w:val="lowerLetter"/>
      <w:lvlText w:val="%8."/>
      <w:lvlJc w:val="left"/>
      <w:pPr>
        <w:ind w:left="6469" w:hanging="360"/>
      </w:pPr>
    </w:lvl>
    <w:lvl w:ilvl="8" w:tplc="FF7A887A">
      <w:start w:val="1"/>
      <w:numFmt w:val="lowerRoman"/>
      <w:lvlText w:val="%9."/>
      <w:lvlJc w:val="right"/>
      <w:pPr>
        <w:ind w:left="7189" w:hanging="180"/>
      </w:pPr>
    </w:lvl>
  </w:abstractNum>
  <w:abstractNum w:abstractNumId="6" w15:restartNumberingAfterBreak="0">
    <w:nsid w:val="17A6014C"/>
    <w:multiLevelType w:val="hybridMultilevel"/>
    <w:tmpl w:val="F8428B1A"/>
    <w:lvl w:ilvl="0" w:tplc="F1C6EA14">
      <w:start w:val="1"/>
      <w:numFmt w:val="decimal"/>
      <w:lvlText w:val="%1)"/>
      <w:lvlJc w:val="left"/>
      <w:pPr>
        <w:ind w:left="1429" w:hanging="360"/>
      </w:pPr>
    </w:lvl>
    <w:lvl w:ilvl="1" w:tplc="B2A63676">
      <w:start w:val="1"/>
      <w:numFmt w:val="lowerLetter"/>
      <w:lvlText w:val="%2."/>
      <w:lvlJc w:val="left"/>
      <w:pPr>
        <w:ind w:left="2149" w:hanging="360"/>
      </w:pPr>
    </w:lvl>
    <w:lvl w:ilvl="2" w:tplc="BC9AF9DA">
      <w:start w:val="1"/>
      <w:numFmt w:val="lowerRoman"/>
      <w:lvlText w:val="%3."/>
      <w:lvlJc w:val="right"/>
      <w:pPr>
        <w:ind w:left="2869" w:hanging="180"/>
      </w:pPr>
    </w:lvl>
    <w:lvl w:ilvl="3" w:tplc="E250A34E">
      <w:start w:val="1"/>
      <w:numFmt w:val="decimal"/>
      <w:lvlText w:val="%4."/>
      <w:lvlJc w:val="left"/>
      <w:pPr>
        <w:ind w:left="3589" w:hanging="360"/>
      </w:pPr>
    </w:lvl>
    <w:lvl w:ilvl="4" w:tplc="7E40C236">
      <w:start w:val="1"/>
      <w:numFmt w:val="lowerLetter"/>
      <w:lvlText w:val="%5."/>
      <w:lvlJc w:val="left"/>
      <w:pPr>
        <w:ind w:left="4309" w:hanging="360"/>
      </w:pPr>
    </w:lvl>
    <w:lvl w:ilvl="5" w:tplc="3CB08F0A">
      <w:start w:val="1"/>
      <w:numFmt w:val="lowerRoman"/>
      <w:lvlText w:val="%6."/>
      <w:lvlJc w:val="right"/>
      <w:pPr>
        <w:ind w:left="5029" w:hanging="180"/>
      </w:pPr>
    </w:lvl>
    <w:lvl w:ilvl="6" w:tplc="088660CE">
      <w:start w:val="1"/>
      <w:numFmt w:val="decimal"/>
      <w:lvlText w:val="%7."/>
      <w:lvlJc w:val="left"/>
      <w:pPr>
        <w:ind w:left="5749" w:hanging="360"/>
      </w:pPr>
    </w:lvl>
    <w:lvl w:ilvl="7" w:tplc="4D144E54">
      <w:start w:val="1"/>
      <w:numFmt w:val="lowerLetter"/>
      <w:lvlText w:val="%8."/>
      <w:lvlJc w:val="left"/>
      <w:pPr>
        <w:ind w:left="6469" w:hanging="360"/>
      </w:pPr>
    </w:lvl>
    <w:lvl w:ilvl="8" w:tplc="6C9E8168">
      <w:start w:val="1"/>
      <w:numFmt w:val="lowerRoman"/>
      <w:lvlText w:val="%9."/>
      <w:lvlJc w:val="right"/>
      <w:pPr>
        <w:ind w:left="7189" w:hanging="180"/>
      </w:pPr>
    </w:lvl>
  </w:abstractNum>
  <w:abstractNum w:abstractNumId="7" w15:restartNumberingAfterBreak="0">
    <w:nsid w:val="17C34CF2"/>
    <w:multiLevelType w:val="hybridMultilevel"/>
    <w:tmpl w:val="63E8444E"/>
    <w:lvl w:ilvl="0" w:tplc="B0680142">
      <w:start w:val="1"/>
      <w:numFmt w:val="decimal"/>
      <w:lvlText w:val="3.%1."/>
      <w:lvlJc w:val="left"/>
      <w:pPr>
        <w:ind w:left="1429" w:hanging="360"/>
      </w:pPr>
      <w:rPr>
        <w:rFonts w:hint="default"/>
      </w:rPr>
    </w:lvl>
    <w:lvl w:ilvl="1" w:tplc="AB1E1580">
      <w:start w:val="1"/>
      <w:numFmt w:val="lowerLetter"/>
      <w:lvlText w:val="%2."/>
      <w:lvlJc w:val="left"/>
      <w:pPr>
        <w:ind w:left="2149" w:hanging="360"/>
      </w:pPr>
    </w:lvl>
    <w:lvl w:ilvl="2" w:tplc="11D8F278">
      <w:start w:val="1"/>
      <w:numFmt w:val="lowerRoman"/>
      <w:lvlText w:val="%3."/>
      <w:lvlJc w:val="right"/>
      <w:pPr>
        <w:ind w:left="2869" w:hanging="180"/>
      </w:pPr>
    </w:lvl>
    <w:lvl w:ilvl="3" w:tplc="856AD18C">
      <w:start w:val="1"/>
      <w:numFmt w:val="decimal"/>
      <w:lvlText w:val="%4."/>
      <w:lvlJc w:val="left"/>
      <w:pPr>
        <w:ind w:left="3589" w:hanging="360"/>
      </w:pPr>
    </w:lvl>
    <w:lvl w:ilvl="4" w:tplc="86029ABC">
      <w:start w:val="1"/>
      <w:numFmt w:val="lowerLetter"/>
      <w:lvlText w:val="%5."/>
      <w:lvlJc w:val="left"/>
      <w:pPr>
        <w:ind w:left="4309" w:hanging="360"/>
      </w:pPr>
    </w:lvl>
    <w:lvl w:ilvl="5" w:tplc="91C00052">
      <w:start w:val="1"/>
      <w:numFmt w:val="lowerRoman"/>
      <w:lvlText w:val="%6."/>
      <w:lvlJc w:val="right"/>
      <w:pPr>
        <w:ind w:left="5029" w:hanging="180"/>
      </w:pPr>
    </w:lvl>
    <w:lvl w:ilvl="6" w:tplc="A8786FE4">
      <w:start w:val="1"/>
      <w:numFmt w:val="decimal"/>
      <w:lvlText w:val="%7."/>
      <w:lvlJc w:val="left"/>
      <w:pPr>
        <w:ind w:left="5749" w:hanging="360"/>
      </w:pPr>
    </w:lvl>
    <w:lvl w:ilvl="7" w:tplc="D65E89F6">
      <w:start w:val="1"/>
      <w:numFmt w:val="lowerLetter"/>
      <w:lvlText w:val="%8."/>
      <w:lvlJc w:val="left"/>
      <w:pPr>
        <w:ind w:left="6469" w:hanging="360"/>
      </w:pPr>
    </w:lvl>
    <w:lvl w:ilvl="8" w:tplc="32CE642E">
      <w:start w:val="1"/>
      <w:numFmt w:val="lowerRoman"/>
      <w:lvlText w:val="%9."/>
      <w:lvlJc w:val="right"/>
      <w:pPr>
        <w:ind w:left="7189" w:hanging="180"/>
      </w:pPr>
    </w:lvl>
  </w:abstractNum>
  <w:abstractNum w:abstractNumId="8" w15:restartNumberingAfterBreak="0">
    <w:nsid w:val="18646DEE"/>
    <w:multiLevelType w:val="hybridMultilevel"/>
    <w:tmpl w:val="42C84CC6"/>
    <w:lvl w:ilvl="0" w:tplc="CD969B7E">
      <w:start w:val="1"/>
      <w:numFmt w:val="decimal"/>
      <w:lvlText w:val="%1)"/>
      <w:lvlJc w:val="left"/>
      <w:pPr>
        <w:ind w:left="1429" w:hanging="360"/>
      </w:pPr>
    </w:lvl>
    <w:lvl w:ilvl="1" w:tplc="CF9C2772">
      <w:start w:val="1"/>
      <w:numFmt w:val="lowerLetter"/>
      <w:lvlText w:val="%2."/>
      <w:lvlJc w:val="left"/>
      <w:pPr>
        <w:ind w:left="2149" w:hanging="360"/>
      </w:pPr>
    </w:lvl>
    <w:lvl w:ilvl="2" w:tplc="AB402554">
      <w:start w:val="1"/>
      <w:numFmt w:val="lowerRoman"/>
      <w:lvlText w:val="%3."/>
      <w:lvlJc w:val="right"/>
      <w:pPr>
        <w:ind w:left="2869" w:hanging="180"/>
      </w:pPr>
    </w:lvl>
    <w:lvl w:ilvl="3" w:tplc="6308A03E">
      <w:start w:val="1"/>
      <w:numFmt w:val="decimal"/>
      <w:lvlText w:val="%4."/>
      <w:lvlJc w:val="left"/>
      <w:pPr>
        <w:ind w:left="3589" w:hanging="360"/>
      </w:pPr>
    </w:lvl>
    <w:lvl w:ilvl="4" w:tplc="DA408076">
      <w:start w:val="1"/>
      <w:numFmt w:val="lowerLetter"/>
      <w:lvlText w:val="%5."/>
      <w:lvlJc w:val="left"/>
      <w:pPr>
        <w:ind w:left="4309" w:hanging="360"/>
      </w:pPr>
    </w:lvl>
    <w:lvl w:ilvl="5" w:tplc="A9640C72">
      <w:start w:val="1"/>
      <w:numFmt w:val="lowerRoman"/>
      <w:lvlText w:val="%6."/>
      <w:lvlJc w:val="right"/>
      <w:pPr>
        <w:ind w:left="5029" w:hanging="180"/>
      </w:pPr>
    </w:lvl>
    <w:lvl w:ilvl="6" w:tplc="CB120602">
      <w:start w:val="1"/>
      <w:numFmt w:val="decimal"/>
      <w:lvlText w:val="%7."/>
      <w:lvlJc w:val="left"/>
      <w:pPr>
        <w:ind w:left="5749" w:hanging="360"/>
      </w:pPr>
    </w:lvl>
    <w:lvl w:ilvl="7" w:tplc="FC68DD60">
      <w:start w:val="1"/>
      <w:numFmt w:val="lowerLetter"/>
      <w:lvlText w:val="%8."/>
      <w:lvlJc w:val="left"/>
      <w:pPr>
        <w:ind w:left="6469" w:hanging="360"/>
      </w:pPr>
    </w:lvl>
    <w:lvl w:ilvl="8" w:tplc="5B46FD64">
      <w:start w:val="1"/>
      <w:numFmt w:val="lowerRoman"/>
      <w:lvlText w:val="%9."/>
      <w:lvlJc w:val="right"/>
      <w:pPr>
        <w:ind w:left="7189" w:hanging="180"/>
      </w:pPr>
    </w:lvl>
  </w:abstractNum>
  <w:abstractNum w:abstractNumId="9" w15:restartNumberingAfterBreak="0">
    <w:nsid w:val="19840E3A"/>
    <w:multiLevelType w:val="hybridMultilevel"/>
    <w:tmpl w:val="D6CA906A"/>
    <w:lvl w:ilvl="0" w:tplc="D3945256">
      <w:start w:val="1"/>
      <w:numFmt w:val="decimal"/>
      <w:lvlText w:val="3.%1."/>
      <w:lvlJc w:val="left"/>
      <w:pPr>
        <w:ind w:left="1429" w:hanging="360"/>
      </w:pPr>
      <w:rPr>
        <w:rFonts w:hint="default"/>
      </w:rPr>
    </w:lvl>
    <w:lvl w:ilvl="1" w:tplc="174C27A6">
      <w:start w:val="1"/>
      <w:numFmt w:val="lowerLetter"/>
      <w:lvlText w:val="%2."/>
      <w:lvlJc w:val="left"/>
      <w:pPr>
        <w:ind w:left="2149" w:hanging="360"/>
      </w:pPr>
    </w:lvl>
    <w:lvl w:ilvl="2" w:tplc="5C1C1924">
      <w:start w:val="1"/>
      <w:numFmt w:val="lowerRoman"/>
      <w:lvlText w:val="%3."/>
      <w:lvlJc w:val="right"/>
      <w:pPr>
        <w:ind w:left="2869" w:hanging="180"/>
      </w:pPr>
    </w:lvl>
    <w:lvl w:ilvl="3" w:tplc="B8BECBE4">
      <w:start w:val="1"/>
      <w:numFmt w:val="decimal"/>
      <w:lvlText w:val="%4."/>
      <w:lvlJc w:val="left"/>
      <w:pPr>
        <w:ind w:left="3589" w:hanging="360"/>
      </w:pPr>
    </w:lvl>
    <w:lvl w:ilvl="4" w:tplc="9C96CD94">
      <w:start w:val="1"/>
      <w:numFmt w:val="lowerLetter"/>
      <w:lvlText w:val="%5."/>
      <w:lvlJc w:val="left"/>
      <w:pPr>
        <w:ind w:left="4309" w:hanging="360"/>
      </w:pPr>
    </w:lvl>
    <w:lvl w:ilvl="5" w:tplc="307A3C1C">
      <w:start w:val="1"/>
      <w:numFmt w:val="lowerRoman"/>
      <w:lvlText w:val="%6."/>
      <w:lvlJc w:val="right"/>
      <w:pPr>
        <w:ind w:left="5029" w:hanging="180"/>
      </w:pPr>
    </w:lvl>
    <w:lvl w:ilvl="6" w:tplc="82020512">
      <w:start w:val="1"/>
      <w:numFmt w:val="decimal"/>
      <w:lvlText w:val="%7."/>
      <w:lvlJc w:val="left"/>
      <w:pPr>
        <w:ind w:left="5749" w:hanging="360"/>
      </w:pPr>
    </w:lvl>
    <w:lvl w:ilvl="7" w:tplc="F9A48CE2">
      <w:start w:val="1"/>
      <w:numFmt w:val="lowerLetter"/>
      <w:lvlText w:val="%8."/>
      <w:lvlJc w:val="left"/>
      <w:pPr>
        <w:ind w:left="6469" w:hanging="360"/>
      </w:pPr>
    </w:lvl>
    <w:lvl w:ilvl="8" w:tplc="29BC9988">
      <w:start w:val="1"/>
      <w:numFmt w:val="lowerRoman"/>
      <w:lvlText w:val="%9."/>
      <w:lvlJc w:val="right"/>
      <w:pPr>
        <w:ind w:left="7189" w:hanging="180"/>
      </w:pPr>
    </w:lvl>
  </w:abstractNum>
  <w:abstractNum w:abstractNumId="10" w15:restartNumberingAfterBreak="0">
    <w:nsid w:val="1D15764D"/>
    <w:multiLevelType w:val="hybridMultilevel"/>
    <w:tmpl w:val="687E049A"/>
    <w:lvl w:ilvl="0" w:tplc="F91C33FA">
      <w:start w:val="1"/>
      <w:numFmt w:val="decimal"/>
      <w:lvlText w:val="%1)"/>
      <w:lvlJc w:val="left"/>
      <w:pPr>
        <w:ind w:left="1440" w:hanging="360"/>
      </w:pPr>
    </w:lvl>
    <w:lvl w:ilvl="1" w:tplc="5B4286CE">
      <w:start w:val="1"/>
      <w:numFmt w:val="lowerLetter"/>
      <w:lvlText w:val="%2."/>
      <w:lvlJc w:val="left"/>
      <w:pPr>
        <w:ind w:left="2160" w:hanging="360"/>
      </w:pPr>
    </w:lvl>
    <w:lvl w:ilvl="2" w:tplc="05865354">
      <w:start w:val="1"/>
      <w:numFmt w:val="lowerRoman"/>
      <w:lvlText w:val="%3."/>
      <w:lvlJc w:val="right"/>
      <w:pPr>
        <w:ind w:left="2880" w:hanging="180"/>
      </w:pPr>
    </w:lvl>
    <w:lvl w:ilvl="3" w:tplc="5012386A">
      <w:start w:val="1"/>
      <w:numFmt w:val="decimal"/>
      <w:lvlText w:val="%4."/>
      <w:lvlJc w:val="left"/>
      <w:pPr>
        <w:ind w:left="3600" w:hanging="360"/>
      </w:pPr>
    </w:lvl>
    <w:lvl w:ilvl="4" w:tplc="C430E31A">
      <w:start w:val="1"/>
      <w:numFmt w:val="lowerLetter"/>
      <w:lvlText w:val="%5."/>
      <w:lvlJc w:val="left"/>
      <w:pPr>
        <w:ind w:left="4320" w:hanging="360"/>
      </w:pPr>
    </w:lvl>
    <w:lvl w:ilvl="5" w:tplc="00422F62">
      <w:start w:val="1"/>
      <w:numFmt w:val="lowerRoman"/>
      <w:lvlText w:val="%6."/>
      <w:lvlJc w:val="right"/>
      <w:pPr>
        <w:ind w:left="5040" w:hanging="180"/>
      </w:pPr>
    </w:lvl>
    <w:lvl w:ilvl="6" w:tplc="3A66ABAE">
      <w:start w:val="1"/>
      <w:numFmt w:val="decimal"/>
      <w:lvlText w:val="%7."/>
      <w:lvlJc w:val="left"/>
      <w:pPr>
        <w:ind w:left="5760" w:hanging="360"/>
      </w:pPr>
    </w:lvl>
    <w:lvl w:ilvl="7" w:tplc="A5E278A8">
      <w:start w:val="1"/>
      <w:numFmt w:val="lowerLetter"/>
      <w:lvlText w:val="%8."/>
      <w:lvlJc w:val="left"/>
      <w:pPr>
        <w:ind w:left="6480" w:hanging="360"/>
      </w:pPr>
    </w:lvl>
    <w:lvl w:ilvl="8" w:tplc="3092AF90">
      <w:start w:val="1"/>
      <w:numFmt w:val="lowerRoman"/>
      <w:lvlText w:val="%9."/>
      <w:lvlJc w:val="right"/>
      <w:pPr>
        <w:ind w:left="7200" w:hanging="180"/>
      </w:pPr>
    </w:lvl>
  </w:abstractNum>
  <w:abstractNum w:abstractNumId="11" w15:restartNumberingAfterBreak="0">
    <w:nsid w:val="20DE23EF"/>
    <w:multiLevelType w:val="multilevel"/>
    <w:tmpl w:val="95BE294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40B7177"/>
    <w:multiLevelType w:val="hybridMultilevel"/>
    <w:tmpl w:val="723CC874"/>
    <w:lvl w:ilvl="0" w:tplc="C548E772">
      <w:start w:val="1"/>
      <w:numFmt w:val="decimal"/>
      <w:lvlText w:val="3.%1."/>
      <w:lvlJc w:val="left"/>
      <w:pPr>
        <w:ind w:left="1429" w:hanging="360"/>
      </w:pPr>
      <w:rPr>
        <w:rFonts w:hint="default"/>
      </w:rPr>
    </w:lvl>
    <w:lvl w:ilvl="1" w:tplc="9C248BF2">
      <w:start w:val="1"/>
      <w:numFmt w:val="lowerLetter"/>
      <w:lvlText w:val="%2."/>
      <w:lvlJc w:val="left"/>
      <w:pPr>
        <w:ind w:left="2149" w:hanging="360"/>
      </w:pPr>
    </w:lvl>
    <w:lvl w:ilvl="2" w:tplc="2E3E6CAE">
      <w:start w:val="1"/>
      <w:numFmt w:val="lowerRoman"/>
      <w:lvlText w:val="%3."/>
      <w:lvlJc w:val="right"/>
      <w:pPr>
        <w:ind w:left="2869" w:hanging="180"/>
      </w:pPr>
    </w:lvl>
    <w:lvl w:ilvl="3" w:tplc="EA3EF060">
      <w:start w:val="1"/>
      <w:numFmt w:val="decimal"/>
      <w:lvlText w:val="%4."/>
      <w:lvlJc w:val="left"/>
      <w:pPr>
        <w:ind w:left="3589" w:hanging="360"/>
      </w:pPr>
    </w:lvl>
    <w:lvl w:ilvl="4" w:tplc="599E64C6">
      <w:start w:val="1"/>
      <w:numFmt w:val="lowerLetter"/>
      <w:lvlText w:val="%5."/>
      <w:lvlJc w:val="left"/>
      <w:pPr>
        <w:ind w:left="4309" w:hanging="360"/>
      </w:pPr>
    </w:lvl>
    <w:lvl w:ilvl="5" w:tplc="85CE942E">
      <w:start w:val="1"/>
      <w:numFmt w:val="lowerRoman"/>
      <w:lvlText w:val="%6."/>
      <w:lvlJc w:val="right"/>
      <w:pPr>
        <w:ind w:left="5029" w:hanging="180"/>
      </w:pPr>
    </w:lvl>
    <w:lvl w:ilvl="6" w:tplc="30160E58">
      <w:start w:val="1"/>
      <w:numFmt w:val="decimal"/>
      <w:lvlText w:val="%7."/>
      <w:lvlJc w:val="left"/>
      <w:pPr>
        <w:ind w:left="5749" w:hanging="360"/>
      </w:pPr>
    </w:lvl>
    <w:lvl w:ilvl="7" w:tplc="BB346292">
      <w:start w:val="1"/>
      <w:numFmt w:val="lowerLetter"/>
      <w:lvlText w:val="%8."/>
      <w:lvlJc w:val="left"/>
      <w:pPr>
        <w:ind w:left="6469" w:hanging="360"/>
      </w:pPr>
    </w:lvl>
    <w:lvl w:ilvl="8" w:tplc="CF3852D8">
      <w:start w:val="1"/>
      <w:numFmt w:val="lowerRoman"/>
      <w:lvlText w:val="%9."/>
      <w:lvlJc w:val="right"/>
      <w:pPr>
        <w:ind w:left="7189" w:hanging="180"/>
      </w:pPr>
    </w:lvl>
  </w:abstractNum>
  <w:abstractNum w:abstractNumId="13" w15:restartNumberingAfterBreak="0">
    <w:nsid w:val="28086558"/>
    <w:multiLevelType w:val="hybridMultilevel"/>
    <w:tmpl w:val="5C9E7822"/>
    <w:lvl w:ilvl="0" w:tplc="453221B4">
      <w:start w:val="1"/>
      <w:numFmt w:val="decimal"/>
      <w:lvlText w:val="3.%1."/>
      <w:lvlJc w:val="left"/>
      <w:pPr>
        <w:ind w:left="1429" w:hanging="360"/>
      </w:pPr>
      <w:rPr>
        <w:rFonts w:hint="default"/>
      </w:rPr>
    </w:lvl>
    <w:lvl w:ilvl="1" w:tplc="3718051A">
      <w:start w:val="1"/>
      <w:numFmt w:val="lowerLetter"/>
      <w:lvlText w:val="%2."/>
      <w:lvlJc w:val="left"/>
      <w:pPr>
        <w:ind w:left="2149" w:hanging="360"/>
      </w:pPr>
    </w:lvl>
    <w:lvl w:ilvl="2" w:tplc="1ADA9404">
      <w:start w:val="1"/>
      <w:numFmt w:val="lowerRoman"/>
      <w:lvlText w:val="%3."/>
      <w:lvlJc w:val="right"/>
      <w:pPr>
        <w:ind w:left="2869" w:hanging="180"/>
      </w:pPr>
    </w:lvl>
    <w:lvl w:ilvl="3" w:tplc="01768B9E">
      <w:start w:val="1"/>
      <w:numFmt w:val="decimal"/>
      <w:lvlText w:val="%4."/>
      <w:lvlJc w:val="left"/>
      <w:pPr>
        <w:ind w:left="3589" w:hanging="360"/>
      </w:pPr>
    </w:lvl>
    <w:lvl w:ilvl="4" w:tplc="C49C26AC">
      <w:start w:val="1"/>
      <w:numFmt w:val="lowerLetter"/>
      <w:lvlText w:val="%5."/>
      <w:lvlJc w:val="left"/>
      <w:pPr>
        <w:ind w:left="4309" w:hanging="360"/>
      </w:pPr>
    </w:lvl>
    <w:lvl w:ilvl="5" w:tplc="10DE72F0">
      <w:start w:val="1"/>
      <w:numFmt w:val="lowerRoman"/>
      <w:lvlText w:val="%6."/>
      <w:lvlJc w:val="right"/>
      <w:pPr>
        <w:ind w:left="5029" w:hanging="180"/>
      </w:pPr>
    </w:lvl>
    <w:lvl w:ilvl="6" w:tplc="EFE2452C">
      <w:start w:val="1"/>
      <w:numFmt w:val="decimal"/>
      <w:lvlText w:val="%7."/>
      <w:lvlJc w:val="left"/>
      <w:pPr>
        <w:ind w:left="5749" w:hanging="360"/>
      </w:pPr>
    </w:lvl>
    <w:lvl w:ilvl="7" w:tplc="28E41394">
      <w:start w:val="1"/>
      <w:numFmt w:val="lowerLetter"/>
      <w:lvlText w:val="%8."/>
      <w:lvlJc w:val="left"/>
      <w:pPr>
        <w:ind w:left="6469" w:hanging="360"/>
      </w:pPr>
    </w:lvl>
    <w:lvl w:ilvl="8" w:tplc="585895C8">
      <w:start w:val="1"/>
      <w:numFmt w:val="lowerRoman"/>
      <w:lvlText w:val="%9."/>
      <w:lvlJc w:val="right"/>
      <w:pPr>
        <w:ind w:left="7189" w:hanging="180"/>
      </w:pPr>
    </w:lvl>
  </w:abstractNum>
  <w:abstractNum w:abstractNumId="14" w15:restartNumberingAfterBreak="0">
    <w:nsid w:val="28795857"/>
    <w:multiLevelType w:val="hybridMultilevel"/>
    <w:tmpl w:val="9B5CC7D6"/>
    <w:lvl w:ilvl="0" w:tplc="D750CFFC">
      <w:start w:val="1"/>
      <w:numFmt w:val="decimal"/>
      <w:lvlText w:val="%1."/>
      <w:lvlJc w:val="left"/>
      <w:pPr>
        <w:ind w:left="1729" w:hanging="1020"/>
      </w:pPr>
      <w:rPr>
        <w:rFonts w:hint="default"/>
      </w:rPr>
    </w:lvl>
    <w:lvl w:ilvl="1" w:tplc="7EB2D14E">
      <w:start w:val="1"/>
      <w:numFmt w:val="lowerLetter"/>
      <w:lvlText w:val="%2."/>
      <w:lvlJc w:val="left"/>
      <w:pPr>
        <w:ind w:left="1789" w:hanging="360"/>
      </w:pPr>
    </w:lvl>
    <w:lvl w:ilvl="2" w:tplc="5D608420">
      <w:start w:val="1"/>
      <w:numFmt w:val="lowerRoman"/>
      <w:lvlText w:val="%3."/>
      <w:lvlJc w:val="right"/>
      <w:pPr>
        <w:ind w:left="2509" w:hanging="180"/>
      </w:pPr>
    </w:lvl>
    <w:lvl w:ilvl="3" w:tplc="3C68C3C8">
      <w:start w:val="1"/>
      <w:numFmt w:val="decimal"/>
      <w:lvlText w:val="%4."/>
      <w:lvlJc w:val="left"/>
      <w:pPr>
        <w:ind w:left="3229" w:hanging="360"/>
      </w:pPr>
    </w:lvl>
    <w:lvl w:ilvl="4" w:tplc="7C5434E4">
      <w:start w:val="1"/>
      <w:numFmt w:val="lowerLetter"/>
      <w:lvlText w:val="%5."/>
      <w:lvlJc w:val="left"/>
      <w:pPr>
        <w:ind w:left="3949" w:hanging="360"/>
      </w:pPr>
    </w:lvl>
    <w:lvl w:ilvl="5" w:tplc="869C8094">
      <w:start w:val="1"/>
      <w:numFmt w:val="lowerRoman"/>
      <w:lvlText w:val="%6."/>
      <w:lvlJc w:val="right"/>
      <w:pPr>
        <w:ind w:left="4669" w:hanging="180"/>
      </w:pPr>
    </w:lvl>
    <w:lvl w:ilvl="6" w:tplc="4980330C">
      <w:start w:val="1"/>
      <w:numFmt w:val="decimal"/>
      <w:lvlText w:val="%7."/>
      <w:lvlJc w:val="left"/>
      <w:pPr>
        <w:ind w:left="5389" w:hanging="360"/>
      </w:pPr>
    </w:lvl>
    <w:lvl w:ilvl="7" w:tplc="C20A86A8">
      <w:start w:val="1"/>
      <w:numFmt w:val="lowerLetter"/>
      <w:lvlText w:val="%8."/>
      <w:lvlJc w:val="left"/>
      <w:pPr>
        <w:ind w:left="6109" w:hanging="360"/>
      </w:pPr>
    </w:lvl>
    <w:lvl w:ilvl="8" w:tplc="5DCCE4C6">
      <w:start w:val="1"/>
      <w:numFmt w:val="lowerRoman"/>
      <w:lvlText w:val="%9."/>
      <w:lvlJc w:val="right"/>
      <w:pPr>
        <w:ind w:left="6829" w:hanging="180"/>
      </w:pPr>
    </w:lvl>
  </w:abstractNum>
  <w:abstractNum w:abstractNumId="15" w15:restartNumberingAfterBreak="0">
    <w:nsid w:val="2BC133C8"/>
    <w:multiLevelType w:val="multilevel"/>
    <w:tmpl w:val="D6EC946A"/>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ED90540"/>
    <w:multiLevelType w:val="hybridMultilevel"/>
    <w:tmpl w:val="304C3080"/>
    <w:lvl w:ilvl="0" w:tplc="1FA674DC">
      <w:start w:val="1"/>
      <w:numFmt w:val="decimal"/>
      <w:lvlText w:val="%1)"/>
      <w:lvlJc w:val="left"/>
      <w:pPr>
        <w:ind w:left="1069" w:hanging="360"/>
      </w:pPr>
      <w:rPr>
        <w:rFonts w:hint="default"/>
      </w:rPr>
    </w:lvl>
    <w:lvl w:ilvl="1" w:tplc="886E661E">
      <w:start w:val="1"/>
      <w:numFmt w:val="lowerLetter"/>
      <w:lvlText w:val="%2."/>
      <w:lvlJc w:val="left"/>
      <w:pPr>
        <w:ind w:left="1789" w:hanging="360"/>
      </w:pPr>
    </w:lvl>
    <w:lvl w:ilvl="2" w:tplc="E52C879C">
      <w:start w:val="1"/>
      <w:numFmt w:val="lowerRoman"/>
      <w:lvlText w:val="%3."/>
      <w:lvlJc w:val="right"/>
      <w:pPr>
        <w:ind w:left="2509" w:hanging="180"/>
      </w:pPr>
    </w:lvl>
    <w:lvl w:ilvl="3" w:tplc="FB00B88C">
      <w:start w:val="1"/>
      <w:numFmt w:val="decimal"/>
      <w:lvlText w:val="%4."/>
      <w:lvlJc w:val="left"/>
      <w:pPr>
        <w:ind w:left="3229" w:hanging="360"/>
      </w:pPr>
    </w:lvl>
    <w:lvl w:ilvl="4" w:tplc="4D7ACB14">
      <w:start w:val="1"/>
      <w:numFmt w:val="lowerLetter"/>
      <w:lvlText w:val="%5."/>
      <w:lvlJc w:val="left"/>
      <w:pPr>
        <w:ind w:left="3949" w:hanging="360"/>
      </w:pPr>
    </w:lvl>
    <w:lvl w:ilvl="5" w:tplc="546ACC1E">
      <w:start w:val="1"/>
      <w:numFmt w:val="lowerRoman"/>
      <w:lvlText w:val="%6."/>
      <w:lvlJc w:val="right"/>
      <w:pPr>
        <w:ind w:left="4669" w:hanging="180"/>
      </w:pPr>
    </w:lvl>
    <w:lvl w:ilvl="6" w:tplc="3CFE27EE">
      <w:start w:val="1"/>
      <w:numFmt w:val="decimal"/>
      <w:lvlText w:val="%7."/>
      <w:lvlJc w:val="left"/>
      <w:pPr>
        <w:ind w:left="5389" w:hanging="360"/>
      </w:pPr>
    </w:lvl>
    <w:lvl w:ilvl="7" w:tplc="40DA6F64">
      <w:start w:val="1"/>
      <w:numFmt w:val="lowerLetter"/>
      <w:lvlText w:val="%8."/>
      <w:lvlJc w:val="left"/>
      <w:pPr>
        <w:ind w:left="6109" w:hanging="360"/>
      </w:pPr>
    </w:lvl>
    <w:lvl w:ilvl="8" w:tplc="B2D884EA">
      <w:start w:val="1"/>
      <w:numFmt w:val="lowerRoman"/>
      <w:lvlText w:val="%9."/>
      <w:lvlJc w:val="right"/>
      <w:pPr>
        <w:ind w:left="6829" w:hanging="180"/>
      </w:pPr>
    </w:lvl>
  </w:abstractNum>
  <w:abstractNum w:abstractNumId="17" w15:restartNumberingAfterBreak="0">
    <w:nsid w:val="35A40281"/>
    <w:multiLevelType w:val="hybridMultilevel"/>
    <w:tmpl w:val="A04E4A2E"/>
    <w:lvl w:ilvl="0" w:tplc="455E941C">
      <w:start w:val="1"/>
      <w:numFmt w:val="decimal"/>
      <w:lvlText w:val="%1."/>
      <w:lvlJc w:val="left"/>
      <w:pPr>
        <w:ind w:left="1069" w:hanging="360"/>
      </w:pPr>
      <w:rPr>
        <w:rFonts w:hint="default"/>
      </w:rPr>
    </w:lvl>
    <w:lvl w:ilvl="1" w:tplc="7D9A23C2">
      <w:start w:val="1"/>
      <w:numFmt w:val="lowerLetter"/>
      <w:lvlText w:val="%2."/>
      <w:lvlJc w:val="left"/>
      <w:pPr>
        <w:ind w:left="1789" w:hanging="360"/>
      </w:pPr>
    </w:lvl>
    <w:lvl w:ilvl="2" w:tplc="102838D6">
      <w:start w:val="1"/>
      <w:numFmt w:val="lowerRoman"/>
      <w:lvlText w:val="%3."/>
      <w:lvlJc w:val="right"/>
      <w:pPr>
        <w:ind w:left="2509" w:hanging="180"/>
      </w:pPr>
    </w:lvl>
    <w:lvl w:ilvl="3" w:tplc="BCB860B4">
      <w:start w:val="1"/>
      <w:numFmt w:val="decimal"/>
      <w:lvlText w:val="%4."/>
      <w:lvlJc w:val="left"/>
      <w:pPr>
        <w:ind w:left="3229" w:hanging="360"/>
      </w:pPr>
    </w:lvl>
    <w:lvl w:ilvl="4" w:tplc="52FE5C88">
      <w:start w:val="1"/>
      <w:numFmt w:val="lowerLetter"/>
      <w:lvlText w:val="%5."/>
      <w:lvlJc w:val="left"/>
      <w:pPr>
        <w:ind w:left="3949" w:hanging="360"/>
      </w:pPr>
    </w:lvl>
    <w:lvl w:ilvl="5" w:tplc="673E37B8">
      <w:start w:val="1"/>
      <w:numFmt w:val="lowerRoman"/>
      <w:lvlText w:val="%6."/>
      <w:lvlJc w:val="right"/>
      <w:pPr>
        <w:ind w:left="4669" w:hanging="180"/>
      </w:pPr>
    </w:lvl>
    <w:lvl w:ilvl="6" w:tplc="F1922BB4">
      <w:start w:val="1"/>
      <w:numFmt w:val="decimal"/>
      <w:lvlText w:val="%7."/>
      <w:lvlJc w:val="left"/>
      <w:pPr>
        <w:ind w:left="5389" w:hanging="360"/>
      </w:pPr>
    </w:lvl>
    <w:lvl w:ilvl="7" w:tplc="E1B6C602">
      <w:start w:val="1"/>
      <w:numFmt w:val="lowerLetter"/>
      <w:lvlText w:val="%8."/>
      <w:lvlJc w:val="left"/>
      <w:pPr>
        <w:ind w:left="6109" w:hanging="360"/>
      </w:pPr>
    </w:lvl>
    <w:lvl w:ilvl="8" w:tplc="E3AE32DC">
      <w:start w:val="1"/>
      <w:numFmt w:val="lowerRoman"/>
      <w:lvlText w:val="%9."/>
      <w:lvlJc w:val="right"/>
      <w:pPr>
        <w:ind w:left="6829" w:hanging="180"/>
      </w:pPr>
    </w:lvl>
  </w:abstractNum>
  <w:abstractNum w:abstractNumId="18" w15:restartNumberingAfterBreak="0">
    <w:nsid w:val="35F11663"/>
    <w:multiLevelType w:val="hybridMultilevel"/>
    <w:tmpl w:val="01800150"/>
    <w:lvl w:ilvl="0" w:tplc="9C808142">
      <w:start w:val="1"/>
      <w:numFmt w:val="decimal"/>
      <w:lvlText w:val="%1)"/>
      <w:lvlJc w:val="left"/>
      <w:pPr>
        <w:ind w:left="1429" w:hanging="360"/>
      </w:pPr>
    </w:lvl>
    <w:lvl w:ilvl="1" w:tplc="1F80CA08">
      <w:start w:val="1"/>
      <w:numFmt w:val="lowerLetter"/>
      <w:lvlText w:val="%2."/>
      <w:lvlJc w:val="left"/>
      <w:pPr>
        <w:ind w:left="2149" w:hanging="360"/>
      </w:pPr>
    </w:lvl>
    <w:lvl w:ilvl="2" w:tplc="11180190">
      <w:start w:val="1"/>
      <w:numFmt w:val="lowerRoman"/>
      <w:lvlText w:val="%3."/>
      <w:lvlJc w:val="right"/>
      <w:pPr>
        <w:ind w:left="2869" w:hanging="180"/>
      </w:pPr>
    </w:lvl>
    <w:lvl w:ilvl="3" w:tplc="5D784A80">
      <w:start w:val="1"/>
      <w:numFmt w:val="decimal"/>
      <w:lvlText w:val="%4."/>
      <w:lvlJc w:val="left"/>
      <w:pPr>
        <w:ind w:left="3589" w:hanging="360"/>
      </w:pPr>
    </w:lvl>
    <w:lvl w:ilvl="4" w:tplc="6F56A1FC">
      <w:start w:val="1"/>
      <w:numFmt w:val="lowerLetter"/>
      <w:lvlText w:val="%5."/>
      <w:lvlJc w:val="left"/>
      <w:pPr>
        <w:ind w:left="4309" w:hanging="360"/>
      </w:pPr>
    </w:lvl>
    <w:lvl w:ilvl="5" w:tplc="C3AC20FC">
      <w:start w:val="1"/>
      <w:numFmt w:val="lowerRoman"/>
      <w:lvlText w:val="%6."/>
      <w:lvlJc w:val="right"/>
      <w:pPr>
        <w:ind w:left="5029" w:hanging="180"/>
      </w:pPr>
    </w:lvl>
    <w:lvl w:ilvl="6" w:tplc="DF5EB77E">
      <w:start w:val="1"/>
      <w:numFmt w:val="decimal"/>
      <w:lvlText w:val="%7."/>
      <w:lvlJc w:val="left"/>
      <w:pPr>
        <w:ind w:left="5749" w:hanging="360"/>
      </w:pPr>
    </w:lvl>
    <w:lvl w:ilvl="7" w:tplc="D4E4E53C">
      <w:start w:val="1"/>
      <w:numFmt w:val="lowerLetter"/>
      <w:lvlText w:val="%8."/>
      <w:lvlJc w:val="left"/>
      <w:pPr>
        <w:ind w:left="6469" w:hanging="360"/>
      </w:pPr>
    </w:lvl>
    <w:lvl w:ilvl="8" w:tplc="B6AED0F2">
      <w:start w:val="1"/>
      <w:numFmt w:val="lowerRoman"/>
      <w:lvlText w:val="%9."/>
      <w:lvlJc w:val="right"/>
      <w:pPr>
        <w:ind w:left="7189" w:hanging="180"/>
      </w:pPr>
    </w:lvl>
  </w:abstractNum>
  <w:abstractNum w:abstractNumId="19" w15:restartNumberingAfterBreak="0">
    <w:nsid w:val="38431740"/>
    <w:multiLevelType w:val="hybridMultilevel"/>
    <w:tmpl w:val="7400C48E"/>
    <w:lvl w:ilvl="0" w:tplc="308CEB84">
      <w:start w:val="1"/>
      <w:numFmt w:val="decimal"/>
      <w:lvlText w:val="%1."/>
      <w:lvlJc w:val="left"/>
      <w:pPr>
        <w:ind w:left="1554" w:hanging="420"/>
      </w:pPr>
    </w:lvl>
    <w:lvl w:ilvl="1" w:tplc="A7C0FDDA">
      <w:start w:val="1"/>
      <w:numFmt w:val="lowerLetter"/>
      <w:lvlText w:val="%2."/>
      <w:lvlJc w:val="left"/>
      <w:pPr>
        <w:ind w:left="2214" w:hanging="360"/>
      </w:pPr>
    </w:lvl>
    <w:lvl w:ilvl="2" w:tplc="5D306074">
      <w:start w:val="1"/>
      <w:numFmt w:val="lowerRoman"/>
      <w:lvlText w:val="%3."/>
      <w:lvlJc w:val="right"/>
      <w:pPr>
        <w:ind w:left="2934" w:hanging="180"/>
      </w:pPr>
    </w:lvl>
    <w:lvl w:ilvl="3" w:tplc="C4B25906">
      <w:start w:val="1"/>
      <w:numFmt w:val="decimal"/>
      <w:lvlText w:val="%4."/>
      <w:lvlJc w:val="left"/>
      <w:pPr>
        <w:ind w:left="3654" w:hanging="360"/>
      </w:pPr>
    </w:lvl>
    <w:lvl w:ilvl="4" w:tplc="A3B044EA">
      <w:start w:val="1"/>
      <w:numFmt w:val="lowerLetter"/>
      <w:lvlText w:val="%5."/>
      <w:lvlJc w:val="left"/>
      <w:pPr>
        <w:ind w:left="4374" w:hanging="360"/>
      </w:pPr>
    </w:lvl>
    <w:lvl w:ilvl="5" w:tplc="2E76D73A">
      <w:start w:val="1"/>
      <w:numFmt w:val="lowerRoman"/>
      <w:lvlText w:val="%6."/>
      <w:lvlJc w:val="right"/>
      <w:pPr>
        <w:ind w:left="5094" w:hanging="180"/>
      </w:pPr>
    </w:lvl>
    <w:lvl w:ilvl="6" w:tplc="485ECEEA">
      <w:start w:val="1"/>
      <w:numFmt w:val="decimal"/>
      <w:lvlText w:val="%7."/>
      <w:lvlJc w:val="left"/>
      <w:pPr>
        <w:ind w:left="5814" w:hanging="360"/>
      </w:pPr>
    </w:lvl>
    <w:lvl w:ilvl="7" w:tplc="60A61676">
      <w:start w:val="1"/>
      <w:numFmt w:val="lowerLetter"/>
      <w:lvlText w:val="%8."/>
      <w:lvlJc w:val="left"/>
      <w:pPr>
        <w:ind w:left="6534" w:hanging="360"/>
      </w:pPr>
    </w:lvl>
    <w:lvl w:ilvl="8" w:tplc="1F5C7BB6">
      <w:start w:val="1"/>
      <w:numFmt w:val="lowerRoman"/>
      <w:lvlText w:val="%9."/>
      <w:lvlJc w:val="right"/>
      <w:pPr>
        <w:ind w:left="7254" w:hanging="180"/>
      </w:pPr>
    </w:lvl>
  </w:abstractNum>
  <w:abstractNum w:abstractNumId="20" w15:restartNumberingAfterBreak="0">
    <w:nsid w:val="39007559"/>
    <w:multiLevelType w:val="multilevel"/>
    <w:tmpl w:val="60C25A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FB76C7"/>
    <w:multiLevelType w:val="hybridMultilevel"/>
    <w:tmpl w:val="0B62314E"/>
    <w:lvl w:ilvl="0" w:tplc="E8F81D26">
      <w:start w:val="1"/>
      <w:numFmt w:val="decimal"/>
      <w:lvlText w:val="3.%1."/>
      <w:lvlJc w:val="left"/>
      <w:pPr>
        <w:ind w:left="1429" w:hanging="360"/>
      </w:pPr>
      <w:rPr>
        <w:rFonts w:hint="default"/>
      </w:rPr>
    </w:lvl>
    <w:lvl w:ilvl="1" w:tplc="9DF06C02">
      <w:start w:val="1"/>
      <w:numFmt w:val="lowerLetter"/>
      <w:lvlText w:val="%2."/>
      <w:lvlJc w:val="left"/>
      <w:pPr>
        <w:ind w:left="2149" w:hanging="360"/>
      </w:pPr>
    </w:lvl>
    <w:lvl w:ilvl="2" w:tplc="E684E45E">
      <w:start w:val="1"/>
      <w:numFmt w:val="lowerRoman"/>
      <w:lvlText w:val="%3."/>
      <w:lvlJc w:val="right"/>
      <w:pPr>
        <w:ind w:left="2869" w:hanging="180"/>
      </w:pPr>
    </w:lvl>
    <w:lvl w:ilvl="3" w:tplc="725495D0">
      <w:start w:val="1"/>
      <w:numFmt w:val="decimal"/>
      <w:lvlText w:val="%4."/>
      <w:lvlJc w:val="left"/>
      <w:pPr>
        <w:ind w:left="3589" w:hanging="360"/>
      </w:pPr>
    </w:lvl>
    <w:lvl w:ilvl="4" w:tplc="DC044978">
      <w:start w:val="1"/>
      <w:numFmt w:val="lowerLetter"/>
      <w:lvlText w:val="%5."/>
      <w:lvlJc w:val="left"/>
      <w:pPr>
        <w:ind w:left="4309" w:hanging="360"/>
      </w:pPr>
    </w:lvl>
    <w:lvl w:ilvl="5" w:tplc="D08AED32">
      <w:start w:val="1"/>
      <w:numFmt w:val="lowerRoman"/>
      <w:lvlText w:val="%6."/>
      <w:lvlJc w:val="right"/>
      <w:pPr>
        <w:ind w:left="5029" w:hanging="180"/>
      </w:pPr>
    </w:lvl>
    <w:lvl w:ilvl="6" w:tplc="1DC2FEF6">
      <w:start w:val="1"/>
      <w:numFmt w:val="decimal"/>
      <w:lvlText w:val="%7."/>
      <w:lvlJc w:val="left"/>
      <w:pPr>
        <w:ind w:left="5749" w:hanging="360"/>
      </w:pPr>
    </w:lvl>
    <w:lvl w:ilvl="7" w:tplc="B2A4D768">
      <w:start w:val="1"/>
      <w:numFmt w:val="lowerLetter"/>
      <w:lvlText w:val="%8."/>
      <w:lvlJc w:val="left"/>
      <w:pPr>
        <w:ind w:left="6469" w:hanging="360"/>
      </w:pPr>
    </w:lvl>
    <w:lvl w:ilvl="8" w:tplc="58C29E3C">
      <w:start w:val="1"/>
      <w:numFmt w:val="lowerRoman"/>
      <w:lvlText w:val="%9."/>
      <w:lvlJc w:val="right"/>
      <w:pPr>
        <w:ind w:left="7189" w:hanging="180"/>
      </w:pPr>
    </w:lvl>
  </w:abstractNum>
  <w:abstractNum w:abstractNumId="22" w15:restartNumberingAfterBreak="0">
    <w:nsid w:val="3ED22E33"/>
    <w:multiLevelType w:val="hybridMultilevel"/>
    <w:tmpl w:val="3918C0C6"/>
    <w:lvl w:ilvl="0" w:tplc="F5729AD4">
      <w:start w:val="1"/>
      <w:numFmt w:val="decimal"/>
      <w:lvlText w:val="%1."/>
      <w:lvlJc w:val="left"/>
      <w:pPr>
        <w:ind w:left="927" w:hanging="360"/>
      </w:pPr>
      <w:rPr>
        <w:rFonts w:hint="default"/>
      </w:rPr>
    </w:lvl>
    <w:lvl w:ilvl="1" w:tplc="620A9164">
      <w:start w:val="1"/>
      <w:numFmt w:val="lowerLetter"/>
      <w:lvlText w:val="%2."/>
      <w:lvlJc w:val="left"/>
      <w:pPr>
        <w:ind w:left="1647" w:hanging="360"/>
      </w:pPr>
    </w:lvl>
    <w:lvl w:ilvl="2" w:tplc="10864A40">
      <w:start w:val="1"/>
      <w:numFmt w:val="lowerRoman"/>
      <w:lvlText w:val="%3."/>
      <w:lvlJc w:val="right"/>
      <w:pPr>
        <w:ind w:left="2367" w:hanging="180"/>
      </w:pPr>
    </w:lvl>
    <w:lvl w:ilvl="3" w:tplc="F3A8FAF6">
      <w:start w:val="1"/>
      <w:numFmt w:val="decimal"/>
      <w:lvlText w:val="%4."/>
      <w:lvlJc w:val="left"/>
      <w:pPr>
        <w:ind w:left="3087" w:hanging="360"/>
      </w:pPr>
    </w:lvl>
    <w:lvl w:ilvl="4" w:tplc="656406EC">
      <w:start w:val="1"/>
      <w:numFmt w:val="lowerLetter"/>
      <w:lvlText w:val="%5."/>
      <w:lvlJc w:val="left"/>
      <w:pPr>
        <w:ind w:left="3807" w:hanging="360"/>
      </w:pPr>
    </w:lvl>
    <w:lvl w:ilvl="5" w:tplc="DE04D7EA">
      <w:start w:val="1"/>
      <w:numFmt w:val="lowerRoman"/>
      <w:lvlText w:val="%6."/>
      <w:lvlJc w:val="right"/>
      <w:pPr>
        <w:ind w:left="4527" w:hanging="180"/>
      </w:pPr>
    </w:lvl>
    <w:lvl w:ilvl="6" w:tplc="A4166A52">
      <w:start w:val="1"/>
      <w:numFmt w:val="decimal"/>
      <w:lvlText w:val="%7."/>
      <w:lvlJc w:val="left"/>
      <w:pPr>
        <w:ind w:left="5247" w:hanging="360"/>
      </w:pPr>
    </w:lvl>
    <w:lvl w:ilvl="7" w:tplc="237EDA7C">
      <w:start w:val="1"/>
      <w:numFmt w:val="lowerLetter"/>
      <w:lvlText w:val="%8."/>
      <w:lvlJc w:val="left"/>
      <w:pPr>
        <w:ind w:left="5967" w:hanging="360"/>
      </w:pPr>
    </w:lvl>
    <w:lvl w:ilvl="8" w:tplc="81285018">
      <w:start w:val="1"/>
      <w:numFmt w:val="lowerRoman"/>
      <w:lvlText w:val="%9."/>
      <w:lvlJc w:val="right"/>
      <w:pPr>
        <w:ind w:left="6687" w:hanging="180"/>
      </w:pPr>
    </w:lvl>
  </w:abstractNum>
  <w:abstractNum w:abstractNumId="23" w15:restartNumberingAfterBreak="0">
    <w:nsid w:val="406825FD"/>
    <w:multiLevelType w:val="hybridMultilevel"/>
    <w:tmpl w:val="0F06A0D8"/>
    <w:lvl w:ilvl="0" w:tplc="E9F0621C">
      <w:start w:val="1"/>
      <w:numFmt w:val="decimal"/>
      <w:lvlText w:val="1.%1."/>
      <w:lvlJc w:val="left"/>
      <w:pPr>
        <w:ind w:left="1429" w:hanging="360"/>
      </w:pPr>
      <w:rPr>
        <w:rFonts w:hint="default"/>
      </w:rPr>
    </w:lvl>
    <w:lvl w:ilvl="1" w:tplc="608422BE">
      <w:start w:val="1"/>
      <w:numFmt w:val="lowerLetter"/>
      <w:lvlText w:val="%2."/>
      <w:lvlJc w:val="left"/>
      <w:pPr>
        <w:ind w:left="2149" w:hanging="360"/>
      </w:pPr>
    </w:lvl>
    <w:lvl w:ilvl="2" w:tplc="13923BAA">
      <w:start w:val="1"/>
      <w:numFmt w:val="lowerRoman"/>
      <w:lvlText w:val="%3."/>
      <w:lvlJc w:val="right"/>
      <w:pPr>
        <w:ind w:left="2869" w:hanging="180"/>
      </w:pPr>
    </w:lvl>
    <w:lvl w:ilvl="3" w:tplc="712E5B6E">
      <w:start w:val="1"/>
      <w:numFmt w:val="decimal"/>
      <w:lvlText w:val="%4."/>
      <w:lvlJc w:val="left"/>
      <w:pPr>
        <w:ind w:left="3589" w:hanging="360"/>
      </w:pPr>
    </w:lvl>
    <w:lvl w:ilvl="4" w:tplc="05444F02">
      <w:start w:val="1"/>
      <w:numFmt w:val="lowerLetter"/>
      <w:lvlText w:val="%5."/>
      <w:lvlJc w:val="left"/>
      <w:pPr>
        <w:ind w:left="4309" w:hanging="360"/>
      </w:pPr>
    </w:lvl>
    <w:lvl w:ilvl="5" w:tplc="8E2E00EC">
      <w:start w:val="1"/>
      <w:numFmt w:val="lowerRoman"/>
      <w:lvlText w:val="%6."/>
      <w:lvlJc w:val="right"/>
      <w:pPr>
        <w:ind w:left="5029" w:hanging="180"/>
      </w:pPr>
    </w:lvl>
    <w:lvl w:ilvl="6" w:tplc="B02E8708">
      <w:start w:val="1"/>
      <w:numFmt w:val="decimal"/>
      <w:lvlText w:val="%7."/>
      <w:lvlJc w:val="left"/>
      <w:pPr>
        <w:ind w:left="5749" w:hanging="360"/>
      </w:pPr>
    </w:lvl>
    <w:lvl w:ilvl="7" w:tplc="9CDAE688">
      <w:start w:val="1"/>
      <w:numFmt w:val="lowerLetter"/>
      <w:lvlText w:val="%8."/>
      <w:lvlJc w:val="left"/>
      <w:pPr>
        <w:ind w:left="6469" w:hanging="360"/>
      </w:pPr>
    </w:lvl>
    <w:lvl w:ilvl="8" w:tplc="8D38139A">
      <w:start w:val="1"/>
      <w:numFmt w:val="lowerRoman"/>
      <w:lvlText w:val="%9."/>
      <w:lvlJc w:val="right"/>
      <w:pPr>
        <w:ind w:left="7189" w:hanging="180"/>
      </w:pPr>
    </w:lvl>
  </w:abstractNum>
  <w:abstractNum w:abstractNumId="24" w15:restartNumberingAfterBreak="0">
    <w:nsid w:val="455332DA"/>
    <w:multiLevelType w:val="hybridMultilevel"/>
    <w:tmpl w:val="0A0249E2"/>
    <w:lvl w:ilvl="0" w:tplc="ECD41402">
      <w:start w:val="1"/>
      <w:numFmt w:val="decimal"/>
      <w:lvlText w:val="%1."/>
      <w:lvlJc w:val="left"/>
      <w:pPr>
        <w:tabs>
          <w:tab w:val="num" w:pos="1103"/>
        </w:tabs>
        <w:ind w:left="1103" w:hanging="360"/>
      </w:pPr>
      <w:rPr>
        <w:rFonts w:hint="default"/>
      </w:rPr>
    </w:lvl>
    <w:lvl w:ilvl="1" w:tplc="EAD4643E">
      <w:start w:val="1"/>
      <w:numFmt w:val="lowerLetter"/>
      <w:lvlText w:val="%2."/>
      <w:lvlJc w:val="left"/>
      <w:pPr>
        <w:tabs>
          <w:tab w:val="num" w:pos="1823"/>
        </w:tabs>
        <w:ind w:left="1823" w:hanging="360"/>
      </w:pPr>
    </w:lvl>
    <w:lvl w:ilvl="2" w:tplc="F3CEED98">
      <w:start w:val="1"/>
      <w:numFmt w:val="lowerRoman"/>
      <w:lvlText w:val="%3."/>
      <w:lvlJc w:val="right"/>
      <w:pPr>
        <w:tabs>
          <w:tab w:val="num" w:pos="2543"/>
        </w:tabs>
        <w:ind w:left="2543" w:hanging="180"/>
      </w:pPr>
    </w:lvl>
    <w:lvl w:ilvl="3" w:tplc="A738BA36">
      <w:start w:val="1"/>
      <w:numFmt w:val="decimal"/>
      <w:lvlText w:val="%4."/>
      <w:lvlJc w:val="left"/>
      <w:pPr>
        <w:tabs>
          <w:tab w:val="num" w:pos="3263"/>
        </w:tabs>
        <w:ind w:left="3263" w:hanging="360"/>
      </w:pPr>
    </w:lvl>
    <w:lvl w:ilvl="4" w:tplc="4F0E1F84">
      <w:start w:val="1"/>
      <w:numFmt w:val="lowerLetter"/>
      <w:lvlText w:val="%5."/>
      <w:lvlJc w:val="left"/>
      <w:pPr>
        <w:tabs>
          <w:tab w:val="num" w:pos="3983"/>
        </w:tabs>
        <w:ind w:left="3983" w:hanging="360"/>
      </w:pPr>
    </w:lvl>
    <w:lvl w:ilvl="5" w:tplc="612EB7FC">
      <w:start w:val="1"/>
      <w:numFmt w:val="lowerRoman"/>
      <w:lvlText w:val="%6."/>
      <w:lvlJc w:val="right"/>
      <w:pPr>
        <w:tabs>
          <w:tab w:val="num" w:pos="4703"/>
        </w:tabs>
        <w:ind w:left="4703" w:hanging="180"/>
      </w:pPr>
    </w:lvl>
    <w:lvl w:ilvl="6" w:tplc="EA240DC0">
      <w:start w:val="1"/>
      <w:numFmt w:val="decimal"/>
      <w:lvlText w:val="%7."/>
      <w:lvlJc w:val="left"/>
      <w:pPr>
        <w:tabs>
          <w:tab w:val="num" w:pos="5423"/>
        </w:tabs>
        <w:ind w:left="5423" w:hanging="360"/>
      </w:pPr>
    </w:lvl>
    <w:lvl w:ilvl="7" w:tplc="FEA47638">
      <w:start w:val="1"/>
      <w:numFmt w:val="lowerLetter"/>
      <w:lvlText w:val="%8."/>
      <w:lvlJc w:val="left"/>
      <w:pPr>
        <w:tabs>
          <w:tab w:val="num" w:pos="6143"/>
        </w:tabs>
        <w:ind w:left="6143" w:hanging="360"/>
      </w:pPr>
    </w:lvl>
    <w:lvl w:ilvl="8" w:tplc="C77C8ADA">
      <w:start w:val="1"/>
      <w:numFmt w:val="lowerRoman"/>
      <w:lvlText w:val="%9."/>
      <w:lvlJc w:val="right"/>
      <w:pPr>
        <w:tabs>
          <w:tab w:val="num" w:pos="6863"/>
        </w:tabs>
        <w:ind w:left="6863" w:hanging="180"/>
      </w:pPr>
    </w:lvl>
  </w:abstractNum>
  <w:abstractNum w:abstractNumId="25" w15:restartNumberingAfterBreak="0">
    <w:nsid w:val="45D836E6"/>
    <w:multiLevelType w:val="hybridMultilevel"/>
    <w:tmpl w:val="9326AB78"/>
    <w:lvl w:ilvl="0" w:tplc="B7C21FC8">
      <w:start w:val="1"/>
      <w:numFmt w:val="decimal"/>
      <w:lvlText w:val="%1)"/>
      <w:lvlJc w:val="left"/>
      <w:pPr>
        <w:ind w:left="1429" w:hanging="360"/>
      </w:pPr>
    </w:lvl>
    <w:lvl w:ilvl="1" w:tplc="8B56EC02">
      <w:start w:val="1"/>
      <w:numFmt w:val="lowerLetter"/>
      <w:lvlText w:val="%2."/>
      <w:lvlJc w:val="left"/>
      <w:pPr>
        <w:ind w:left="2149" w:hanging="360"/>
      </w:pPr>
    </w:lvl>
    <w:lvl w:ilvl="2" w:tplc="C104394C">
      <w:start w:val="1"/>
      <w:numFmt w:val="lowerRoman"/>
      <w:lvlText w:val="%3."/>
      <w:lvlJc w:val="right"/>
      <w:pPr>
        <w:ind w:left="2869" w:hanging="180"/>
      </w:pPr>
    </w:lvl>
    <w:lvl w:ilvl="3" w:tplc="77125D66">
      <w:start w:val="1"/>
      <w:numFmt w:val="decimal"/>
      <w:lvlText w:val="%4."/>
      <w:lvlJc w:val="left"/>
      <w:pPr>
        <w:ind w:left="3589" w:hanging="360"/>
      </w:pPr>
    </w:lvl>
    <w:lvl w:ilvl="4" w:tplc="90C8C74E">
      <w:start w:val="1"/>
      <w:numFmt w:val="lowerLetter"/>
      <w:lvlText w:val="%5."/>
      <w:lvlJc w:val="left"/>
      <w:pPr>
        <w:ind w:left="4309" w:hanging="360"/>
      </w:pPr>
    </w:lvl>
    <w:lvl w:ilvl="5" w:tplc="7E68F4C0">
      <w:start w:val="1"/>
      <w:numFmt w:val="lowerRoman"/>
      <w:lvlText w:val="%6."/>
      <w:lvlJc w:val="right"/>
      <w:pPr>
        <w:ind w:left="5029" w:hanging="180"/>
      </w:pPr>
    </w:lvl>
    <w:lvl w:ilvl="6" w:tplc="138894BE">
      <w:start w:val="1"/>
      <w:numFmt w:val="decimal"/>
      <w:lvlText w:val="%7."/>
      <w:lvlJc w:val="left"/>
      <w:pPr>
        <w:ind w:left="5749" w:hanging="360"/>
      </w:pPr>
    </w:lvl>
    <w:lvl w:ilvl="7" w:tplc="A6E88318">
      <w:start w:val="1"/>
      <w:numFmt w:val="lowerLetter"/>
      <w:lvlText w:val="%8."/>
      <w:lvlJc w:val="left"/>
      <w:pPr>
        <w:ind w:left="6469" w:hanging="360"/>
      </w:pPr>
    </w:lvl>
    <w:lvl w:ilvl="8" w:tplc="8DB85722">
      <w:start w:val="1"/>
      <w:numFmt w:val="lowerRoman"/>
      <w:lvlText w:val="%9."/>
      <w:lvlJc w:val="right"/>
      <w:pPr>
        <w:ind w:left="7189" w:hanging="180"/>
      </w:pPr>
    </w:lvl>
  </w:abstractNum>
  <w:abstractNum w:abstractNumId="26" w15:restartNumberingAfterBreak="0">
    <w:nsid w:val="460D2309"/>
    <w:multiLevelType w:val="hybridMultilevel"/>
    <w:tmpl w:val="72628066"/>
    <w:lvl w:ilvl="0" w:tplc="5FAA67A4">
      <w:start w:val="1"/>
      <w:numFmt w:val="decimal"/>
      <w:lvlText w:val="%1."/>
      <w:lvlJc w:val="left"/>
      <w:pPr>
        <w:ind w:left="1429" w:hanging="360"/>
      </w:pPr>
    </w:lvl>
    <w:lvl w:ilvl="1" w:tplc="6ACA32E6">
      <w:start w:val="1"/>
      <w:numFmt w:val="lowerLetter"/>
      <w:lvlText w:val="%2."/>
      <w:lvlJc w:val="left"/>
      <w:pPr>
        <w:ind w:left="2149" w:hanging="360"/>
      </w:pPr>
    </w:lvl>
    <w:lvl w:ilvl="2" w:tplc="F7B2F4FE">
      <w:start w:val="1"/>
      <w:numFmt w:val="lowerRoman"/>
      <w:lvlText w:val="%3."/>
      <w:lvlJc w:val="right"/>
      <w:pPr>
        <w:ind w:left="2869" w:hanging="180"/>
      </w:pPr>
    </w:lvl>
    <w:lvl w:ilvl="3" w:tplc="5176AC9E">
      <w:start w:val="1"/>
      <w:numFmt w:val="decimal"/>
      <w:lvlText w:val="%4."/>
      <w:lvlJc w:val="left"/>
      <w:pPr>
        <w:ind w:left="3589" w:hanging="360"/>
      </w:pPr>
    </w:lvl>
    <w:lvl w:ilvl="4" w:tplc="D79C0CDA">
      <w:start w:val="1"/>
      <w:numFmt w:val="lowerLetter"/>
      <w:lvlText w:val="%5."/>
      <w:lvlJc w:val="left"/>
      <w:pPr>
        <w:ind w:left="4309" w:hanging="360"/>
      </w:pPr>
    </w:lvl>
    <w:lvl w:ilvl="5" w:tplc="75D4EA6E">
      <w:start w:val="1"/>
      <w:numFmt w:val="lowerRoman"/>
      <w:lvlText w:val="%6."/>
      <w:lvlJc w:val="right"/>
      <w:pPr>
        <w:ind w:left="5029" w:hanging="180"/>
      </w:pPr>
    </w:lvl>
    <w:lvl w:ilvl="6" w:tplc="06DA3B26">
      <w:start w:val="1"/>
      <w:numFmt w:val="decimal"/>
      <w:lvlText w:val="%7."/>
      <w:lvlJc w:val="left"/>
      <w:pPr>
        <w:ind w:left="5749" w:hanging="360"/>
      </w:pPr>
    </w:lvl>
    <w:lvl w:ilvl="7" w:tplc="6A6ACD68">
      <w:start w:val="1"/>
      <w:numFmt w:val="lowerLetter"/>
      <w:lvlText w:val="%8."/>
      <w:lvlJc w:val="left"/>
      <w:pPr>
        <w:ind w:left="6469" w:hanging="360"/>
      </w:pPr>
    </w:lvl>
    <w:lvl w:ilvl="8" w:tplc="CDCCA9A4">
      <w:start w:val="1"/>
      <w:numFmt w:val="lowerRoman"/>
      <w:lvlText w:val="%9."/>
      <w:lvlJc w:val="right"/>
      <w:pPr>
        <w:ind w:left="7189" w:hanging="180"/>
      </w:pPr>
    </w:lvl>
  </w:abstractNum>
  <w:abstractNum w:abstractNumId="27" w15:restartNumberingAfterBreak="0">
    <w:nsid w:val="4D5B5343"/>
    <w:multiLevelType w:val="hybridMultilevel"/>
    <w:tmpl w:val="F33A9432"/>
    <w:lvl w:ilvl="0" w:tplc="CC42B88E">
      <w:start w:val="1"/>
      <w:numFmt w:val="decimal"/>
      <w:lvlText w:val="3.%1."/>
      <w:lvlJc w:val="left"/>
      <w:pPr>
        <w:ind w:left="1429" w:hanging="360"/>
      </w:pPr>
      <w:rPr>
        <w:rFonts w:hint="default"/>
      </w:rPr>
    </w:lvl>
    <w:lvl w:ilvl="1" w:tplc="8F60F2F2">
      <w:start w:val="1"/>
      <w:numFmt w:val="lowerLetter"/>
      <w:lvlText w:val="%2."/>
      <w:lvlJc w:val="left"/>
      <w:pPr>
        <w:ind w:left="2149" w:hanging="360"/>
      </w:pPr>
    </w:lvl>
    <w:lvl w:ilvl="2" w:tplc="DAB25DA0">
      <w:start w:val="1"/>
      <w:numFmt w:val="lowerRoman"/>
      <w:lvlText w:val="%3."/>
      <w:lvlJc w:val="right"/>
      <w:pPr>
        <w:ind w:left="2869" w:hanging="180"/>
      </w:pPr>
    </w:lvl>
    <w:lvl w:ilvl="3" w:tplc="4FDAF6A6">
      <w:start w:val="1"/>
      <w:numFmt w:val="decimal"/>
      <w:lvlText w:val="%4."/>
      <w:lvlJc w:val="left"/>
      <w:pPr>
        <w:ind w:left="3589" w:hanging="360"/>
      </w:pPr>
    </w:lvl>
    <w:lvl w:ilvl="4" w:tplc="D93A1588">
      <w:start w:val="1"/>
      <w:numFmt w:val="lowerLetter"/>
      <w:lvlText w:val="%5."/>
      <w:lvlJc w:val="left"/>
      <w:pPr>
        <w:ind w:left="4309" w:hanging="360"/>
      </w:pPr>
    </w:lvl>
    <w:lvl w:ilvl="5" w:tplc="42BECB86">
      <w:start w:val="1"/>
      <w:numFmt w:val="lowerRoman"/>
      <w:lvlText w:val="%6."/>
      <w:lvlJc w:val="right"/>
      <w:pPr>
        <w:ind w:left="5029" w:hanging="180"/>
      </w:pPr>
    </w:lvl>
    <w:lvl w:ilvl="6" w:tplc="6C5ED21A">
      <w:start w:val="1"/>
      <w:numFmt w:val="decimal"/>
      <w:lvlText w:val="%7."/>
      <w:lvlJc w:val="left"/>
      <w:pPr>
        <w:ind w:left="5749" w:hanging="360"/>
      </w:pPr>
    </w:lvl>
    <w:lvl w:ilvl="7" w:tplc="A8067D2A">
      <w:start w:val="1"/>
      <w:numFmt w:val="lowerLetter"/>
      <w:lvlText w:val="%8."/>
      <w:lvlJc w:val="left"/>
      <w:pPr>
        <w:ind w:left="6469" w:hanging="360"/>
      </w:pPr>
    </w:lvl>
    <w:lvl w:ilvl="8" w:tplc="40380CE6">
      <w:start w:val="1"/>
      <w:numFmt w:val="lowerRoman"/>
      <w:lvlText w:val="%9."/>
      <w:lvlJc w:val="right"/>
      <w:pPr>
        <w:ind w:left="7189" w:hanging="180"/>
      </w:pPr>
    </w:lvl>
  </w:abstractNum>
  <w:abstractNum w:abstractNumId="28" w15:restartNumberingAfterBreak="0">
    <w:nsid w:val="502B59FF"/>
    <w:multiLevelType w:val="hybridMultilevel"/>
    <w:tmpl w:val="B76C62E2"/>
    <w:lvl w:ilvl="0" w:tplc="FC1E95A4">
      <w:start w:val="1"/>
      <w:numFmt w:val="decimal"/>
      <w:lvlText w:val="%1)"/>
      <w:lvlJc w:val="left"/>
      <w:pPr>
        <w:ind w:left="1909" w:hanging="1200"/>
      </w:pPr>
      <w:rPr>
        <w:rFonts w:hint="default"/>
      </w:rPr>
    </w:lvl>
    <w:lvl w:ilvl="1" w:tplc="3FA4DE06">
      <w:start w:val="1"/>
      <w:numFmt w:val="lowerLetter"/>
      <w:lvlText w:val="%2."/>
      <w:lvlJc w:val="left"/>
      <w:pPr>
        <w:ind w:left="1789" w:hanging="360"/>
      </w:pPr>
    </w:lvl>
    <w:lvl w:ilvl="2" w:tplc="4CA61170">
      <w:start w:val="1"/>
      <w:numFmt w:val="lowerRoman"/>
      <w:lvlText w:val="%3."/>
      <w:lvlJc w:val="right"/>
      <w:pPr>
        <w:ind w:left="2509" w:hanging="180"/>
      </w:pPr>
    </w:lvl>
    <w:lvl w:ilvl="3" w:tplc="5B86BC20">
      <w:start w:val="1"/>
      <w:numFmt w:val="decimal"/>
      <w:lvlText w:val="%4."/>
      <w:lvlJc w:val="left"/>
      <w:pPr>
        <w:ind w:left="3229" w:hanging="360"/>
      </w:pPr>
    </w:lvl>
    <w:lvl w:ilvl="4" w:tplc="9628E4D6">
      <w:start w:val="1"/>
      <w:numFmt w:val="lowerLetter"/>
      <w:lvlText w:val="%5."/>
      <w:lvlJc w:val="left"/>
      <w:pPr>
        <w:ind w:left="3949" w:hanging="360"/>
      </w:pPr>
    </w:lvl>
    <w:lvl w:ilvl="5" w:tplc="6156A72C">
      <w:start w:val="1"/>
      <w:numFmt w:val="lowerRoman"/>
      <w:lvlText w:val="%6."/>
      <w:lvlJc w:val="right"/>
      <w:pPr>
        <w:ind w:left="4669" w:hanging="180"/>
      </w:pPr>
    </w:lvl>
    <w:lvl w:ilvl="6" w:tplc="C14AAA80">
      <w:start w:val="1"/>
      <w:numFmt w:val="decimal"/>
      <w:lvlText w:val="%7."/>
      <w:lvlJc w:val="left"/>
      <w:pPr>
        <w:ind w:left="5389" w:hanging="360"/>
      </w:pPr>
    </w:lvl>
    <w:lvl w:ilvl="7" w:tplc="7DE2D3E4">
      <w:start w:val="1"/>
      <w:numFmt w:val="lowerLetter"/>
      <w:lvlText w:val="%8."/>
      <w:lvlJc w:val="left"/>
      <w:pPr>
        <w:ind w:left="6109" w:hanging="360"/>
      </w:pPr>
    </w:lvl>
    <w:lvl w:ilvl="8" w:tplc="655E661C">
      <w:start w:val="1"/>
      <w:numFmt w:val="lowerRoman"/>
      <w:lvlText w:val="%9."/>
      <w:lvlJc w:val="right"/>
      <w:pPr>
        <w:ind w:left="6829" w:hanging="180"/>
      </w:pPr>
    </w:lvl>
  </w:abstractNum>
  <w:abstractNum w:abstractNumId="29" w15:restartNumberingAfterBreak="0">
    <w:nsid w:val="510E568E"/>
    <w:multiLevelType w:val="hybridMultilevel"/>
    <w:tmpl w:val="A3AC7010"/>
    <w:lvl w:ilvl="0" w:tplc="8C74DC48">
      <w:start w:val="1"/>
      <w:numFmt w:val="decimal"/>
      <w:lvlText w:val="%1)"/>
      <w:lvlJc w:val="left"/>
      <w:pPr>
        <w:ind w:left="1429" w:hanging="360"/>
      </w:pPr>
    </w:lvl>
    <w:lvl w:ilvl="1" w:tplc="3EBC12D0">
      <w:start w:val="1"/>
      <w:numFmt w:val="lowerLetter"/>
      <w:lvlText w:val="%2."/>
      <w:lvlJc w:val="left"/>
      <w:pPr>
        <w:ind w:left="2149" w:hanging="360"/>
      </w:pPr>
    </w:lvl>
    <w:lvl w:ilvl="2" w:tplc="04B6F97C">
      <w:start w:val="1"/>
      <w:numFmt w:val="lowerRoman"/>
      <w:lvlText w:val="%3."/>
      <w:lvlJc w:val="right"/>
      <w:pPr>
        <w:ind w:left="2869" w:hanging="180"/>
      </w:pPr>
    </w:lvl>
    <w:lvl w:ilvl="3" w:tplc="8BF835A2">
      <w:start w:val="1"/>
      <w:numFmt w:val="decimal"/>
      <w:lvlText w:val="%4."/>
      <w:lvlJc w:val="left"/>
      <w:pPr>
        <w:ind w:left="3589" w:hanging="360"/>
      </w:pPr>
    </w:lvl>
    <w:lvl w:ilvl="4" w:tplc="FF143728">
      <w:start w:val="1"/>
      <w:numFmt w:val="lowerLetter"/>
      <w:lvlText w:val="%5."/>
      <w:lvlJc w:val="left"/>
      <w:pPr>
        <w:ind w:left="4309" w:hanging="360"/>
      </w:pPr>
    </w:lvl>
    <w:lvl w:ilvl="5" w:tplc="65FC020C">
      <w:start w:val="1"/>
      <w:numFmt w:val="lowerRoman"/>
      <w:lvlText w:val="%6."/>
      <w:lvlJc w:val="right"/>
      <w:pPr>
        <w:ind w:left="5029" w:hanging="180"/>
      </w:pPr>
    </w:lvl>
    <w:lvl w:ilvl="6" w:tplc="EE1E8414">
      <w:start w:val="1"/>
      <w:numFmt w:val="decimal"/>
      <w:lvlText w:val="%7."/>
      <w:lvlJc w:val="left"/>
      <w:pPr>
        <w:ind w:left="5749" w:hanging="360"/>
      </w:pPr>
    </w:lvl>
    <w:lvl w:ilvl="7" w:tplc="5DBEB5F6">
      <w:start w:val="1"/>
      <w:numFmt w:val="lowerLetter"/>
      <w:lvlText w:val="%8."/>
      <w:lvlJc w:val="left"/>
      <w:pPr>
        <w:ind w:left="6469" w:hanging="360"/>
      </w:pPr>
    </w:lvl>
    <w:lvl w:ilvl="8" w:tplc="2CA07914">
      <w:start w:val="1"/>
      <w:numFmt w:val="lowerRoman"/>
      <w:lvlText w:val="%9."/>
      <w:lvlJc w:val="right"/>
      <w:pPr>
        <w:ind w:left="7189" w:hanging="180"/>
      </w:pPr>
    </w:lvl>
  </w:abstractNum>
  <w:abstractNum w:abstractNumId="30" w15:restartNumberingAfterBreak="0">
    <w:nsid w:val="527C342B"/>
    <w:multiLevelType w:val="multilevel"/>
    <w:tmpl w:val="3E92E81C"/>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9E162C2"/>
    <w:multiLevelType w:val="hybridMultilevel"/>
    <w:tmpl w:val="E5A22416"/>
    <w:lvl w:ilvl="0" w:tplc="C4241FE4">
      <w:start w:val="1"/>
      <w:numFmt w:val="decimal"/>
      <w:lvlText w:val="3.%1."/>
      <w:lvlJc w:val="left"/>
      <w:pPr>
        <w:ind w:left="1429" w:hanging="360"/>
      </w:pPr>
      <w:rPr>
        <w:rFonts w:hint="default"/>
      </w:rPr>
    </w:lvl>
    <w:lvl w:ilvl="1" w:tplc="CCA670DE">
      <w:start w:val="1"/>
      <w:numFmt w:val="lowerLetter"/>
      <w:lvlText w:val="%2."/>
      <w:lvlJc w:val="left"/>
      <w:pPr>
        <w:ind w:left="2149" w:hanging="360"/>
      </w:pPr>
    </w:lvl>
    <w:lvl w:ilvl="2" w:tplc="69AA20CE">
      <w:start w:val="1"/>
      <w:numFmt w:val="lowerRoman"/>
      <w:lvlText w:val="%3."/>
      <w:lvlJc w:val="right"/>
      <w:pPr>
        <w:ind w:left="2869" w:hanging="180"/>
      </w:pPr>
    </w:lvl>
    <w:lvl w:ilvl="3" w:tplc="EBB6698A">
      <w:start w:val="1"/>
      <w:numFmt w:val="decimal"/>
      <w:lvlText w:val="%4."/>
      <w:lvlJc w:val="left"/>
      <w:pPr>
        <w:ind w:left="3589" w:hanging="360"/>
      </w:pPr>
    </w:lvl>
    <w:lvl w:ilvl="4" w:tplc="2C60E102">
      <w:start w:val="1"/>
      <w:numFmt w:val="lowerLetter"/>
      <w:lvlText w:val="%5."/>
      <w:lvlJc w:val="left"/>
      <w:pPr>
        <w:ind w:left="4309" w:hanging="360"/>
      </w:pPr>
    </w:lvl>
    <w:lvl w:ilvl="5" w:tplc="CFB4B804">
      <w:start w:val="1"/>
      <w:numFmt w:val="lowerRoman"/>
      <w:lvlText w:val="%6."/>
      <w:lvlJc w:val="right"/>
      <w:pPr>
        <w:ind w:left="5029" w:hanging="180"/>
      </w:pPr>
    </w:lvl>
    <w:lvl w:ilvl="6" w:tplc="F4FE429A">
      <w:start w:val="1"/>
      <w:numFmt w:val="decimal"/>
      <w:lvlText w:val="%7."/>
      <w:lvlJc w:val="left"/>
      <w:pPr>
        <w:ind w:left="5749" w:hanging="360"/>
      </w:pPr>
    </w:lvl>
    <w:lvl w:ilvl="7" w:tplc="8BF81EE0">
      <w:start w:val="1"/>
      <w:numFmt w:val="lowerLetter"/>
      <w:lvlText w:val="%8."/>
      <w:lvlJc w:val="left"/>
      <w:pPr>
        <w:ind w:left="6469" w:hanging="360"/>
      </w:pPr>
    </w:lvl>
    <w:lvl w:ilvl="8" w:tplc="E0ACCF86">
      <w:start w:val="1"/>
      <w:numFmt w:val="lowerRoman"/>
      <w:lvlText w:val="%9."/>
      <w:lvlJc w:val="right"/>
      <w:pPr>
        <w:ind w:left="7189" w:hanging="180"/>
      </w:pPr>
    </w:lvl>
  </w:abstractNum>
  <w:abstractNum w:abstractNumId="32" w15:restartNumberingAfterBreak="0">
    <w:nsid w:val="65E95B3E"/>
    <w:multiLevelType w:val="hybridMultilevel"/>
    <w:tmpl w:val="366AE3AC"/>
    <w:lvl w:ilvl="0" w:tplc="FA3EE5BC">
      <w:start w:val="1"/>
      <w:numFmt w:val="decimal"/>
      <w:lvlText w:val="%1."/>
      <w:lvlJc w:val="left"/>
      <w:pPr>
        <w:ind w:left="1429" w:hanging="360"/>
      </w:pPr>
    </w:lvl>
    <w:lvl w:ilvl="1" w:tplc="E3D4FD1E">
      <w:start w:val="1"/>
      <w:numFmt w:val="lowerLetter"/>
      <w:lvlText w:val="%2."/>
      <w:lvlJc w:val="left"/>
      <w:pPr>
        <w:ind w:left="2149" w:hanging="360"/>
      </w:pPr>
    </w:lvl>
    <w:lvl w:ilvl="2" w:tplc="06AC6BC6">
      <w:start w:val="1"/>
      <w:numFmt w:val="lowerRoman"/>
      <w:lvlText w:val="%3."/>
      <w:lvlJc w:val="right"/>
      <w:pPr>
        <w:ind w:left="2869" w:hanging="180"/>
      </w:pPr>
    </w:lvl>
    <w:lvl w:ilvl="3" w:tplc="21CE23A8">
      <w:start w:val="1"/>
      <w:numFmt w:val="decimal"/>
      <w:lvlText w:val="%4."/>
      <w:lvlJc w:val="left"/>
      <w:pPr>
        <w:ind w:left="3589" w:hanging="360"/>
      </w:pPr>
    </w:lvl>
    <w:lvl w:ilvl="4" w:tplc="3B86E44C">
      <w:start w:val="1"/>
      <w:numFmt w:val="lowerLetter"/>
      <w:lvlText w:val="%5."/>
      <w:lvlJc w:val="left"/>
      <w:pPr>
        <w:ind w:left="4309" w:hanging="360"/>
      </w:pPr>
    </w:lvl>
    <w:lvl w:ilvl="5" w:tplc="EA8EC7A2">
      <w:start w:val="1"/>
      <w:numFmt w:val="lowerRoman"/>
      <w:lvlText w:val="%6."/>
      <w:lvlJc w:val="right"/>
      <w:pPr>
        <w:ind w:left="5029" w:hanging="180"/>
      </w:pPr>
    </w:lvl>
    <w:lvl w:ilvl="6" w:tplc="252671E6">
      <w:start w:val="1"/>
      <w:numFmt w:val="decimal"/>
      <w:lvlText w:val="%7."/>
      <w:lvlJc w:val="left"/>
      <w:pPr>
        <w:ind w:left="5749" w:hanging="360"/>
      </w:pPr>
    </w:lvl>
    <w:lvl w:ilvl="7" w:tplc="ECB46A4C">
      <w:start w:val="1"/>
      <w:numFmt w:val="lowerLetter"/>
      <w:lvlText w:val="%8."/>
      <w:lvlJc w:val="left"/>
      <w:pPr>
        <w:ind w:left="6469" w:hanging="360"/>
      </w:pPr>
    </w:lvl>
    <w:lvl w:ilvl="8" w:tplc="57E0AF86">
      <w:start w:val="1"/>
      <w:numFmt w:val="lowerRoman"/>
      <w:lvlText w:val="%9."/>
      <w:lvlJc w:val="right"/>
      <w:pPr>
        <w:ind w:left="7189" w:hanging="180"/>
      </w:pPr>
    </w:lvl>
  </w:abstractNum>
  <w:abstractNum w:abstractNumId="33" w15:restartNumberingAfterBreak="0">
    <w:nsid w:val="673C3366"/>
    <w:multiLevelType w:val="hybridMultilevel"/>
    <w:tmpl w:val="F64EB594"/>
    <w:lvl w:ilvl="0" w:tplc="6C208C06">
      <w:start w:val="1"/>
      <w:numFmt w:val="decimal"/>
      <w:lvlText w:val="%1)"/>
      <w:lvlJc w:val="left"/>
      <w:pPr>
        <w:ind w:left="1429" w:hanging="360"/>
      </w:pPr>
    </w:lvl>
    <w:lvl w:ilvl="1" w:tplc="48B2316A">
      <w:start w:val="1"/>
      <w:numFmt w:val="lowerLetter"/>
      <w:lvlText w:val="%2."/>
      <w:lvlJc w:val="left"/>
      <w:pPr>
        <w:ind w:left="2149" w:hanging="360"/>
      </w:pPr>
    </w:lvl>
    <w:lvl w:ilvl="2" w:tplc="24CAE164">
      <w:start w:val="1"/>
      <w:numFmt w:val="lowerRoman"/>
      <w:lvlText w:val="%3."/>
      <w:lvlJc w:val="right"/>
      <w:pPr>
        <w:ind w:left="2869" w:hanging="180"/>
      </w:pPr>
    </w:lvl>
    <w:lvl w:ilvl="3" w:tplc="475CEB1E">
      <w:start w:val="1"/>
      <w:numFmt w:val="decimal"/>
      <w:lvlText w:val="%4."/>
      <w:lvlJc w:val="left"/>
      <w:pPr>
        <w:ind w:left="3589" w:hanging="360"/>
      </w:pPr>
    </w:lvl>
    <w:lvl w:ilvl="4" w:tplc="64C08514">
      <w:start w:val="1"/>
      <w:numFmt w:val="lowerLetter"/>
      <w:lvlText w:val="%5."/>
      <w:lvlJc w:val="left"/>
      <w:pPr>
        <w:ind w:left="4309" w:hanging="360"/>
      </w:pPr>
    </w:lvl>
    <w:lvl w:ilvl="5" w:tplc="CBA056B2">
      <w:start w:val="1"/>
      <w:numFmt w:val="lowerRoman"/>
      <w:lvlText w:val="%6."/>
      <w:lvlJc w:val="right"/>
      <w:pPr>
        <w:ind w:left="5029" w:hanging="180"/>
      </w:pPr>
    </w:lvl>
    <w:lvl w:ilvl="6" w:tplc="44306706">
      <w:start w:val="1"/>
      <w:numFmt w:val="decimal"/>
      <w:lvlText w:val="%7."/>
      <w:lvlJc w:val="left"/>
      <w:pPr>
        <w:ind w:left="5749" w:hanging="360"/>
      </w:pPr>
    </w:lvl>
    <w:lvl w:ilvl="7" w:tplc="DDBCFFE0">
      <w:start w:val="1"/>
      <w:numFmt w:val="lowerLetter"/>
      <w:lvlText w:val="%8."/>
      <w:lvlJc w:val="left"/>
      <w:pPr>
        <w:ind w:left="6469" w:hanging="360"/>
      </w:pPr>
    </w:lvl>
    <w:lvl w:ilvl="8" w:tplc="DB7E242E">
      <w:start w:val="1"/>
      <w:numFmt w:val="lowerRoman"/>
      <w:lvlText w:val="%9."/>
      <w:lvlJc w:val="right"/>
      <w:pPr>
        <w:ind w:left="7189" w:hanging="180"/>
      </w:pPr>
    </w:lvl>
  </w:abstractNum>
  <w:abstractNum w:abstractNumId="34" w15:restartNumberingAfterBreak="0">
    <w:nsid w:val="6AD955CE"/>
    <w:multiLevelType w:val="hybridMultilevel"/>
    <w:tmpl w:val="33EE8BAC"/>
    <w:lvl w:ilvl="0" w:tplc="C2C8226A">
      <w:start w:val="1"/>
      <w:numFmt w:val="decimal"/>
      <w:lvlText w:val="2.%1."/>
      <w:lvlJc w:val="left"/>
      <w:pPr>
        <w:ind w:left="1429" w:hanging="360"/>
      </w:pPr>
      <w:rPr>
        <w:rFonts w:hint="default"/>
      </w:rPr>
    </w:lvl>
    <w:lvl w:ilvl="1" w:tplc="C95A1E66">
      <w:start w:val="1"/>
      <w:numFmt w:val="decimal"/>
      <w:lvlText w:val="%2)"/>
      <w:lvlJc w:val="left"/>
      <w:pPr>
        <w:ind w:left="2809" w:hanging="1020"/>
      </w:pPr>
      <w:rPr>
        <w:rFonts w:hint="default"/>
      </w:rPr>
    </w:lvl>
    <w:lvl w:ilvl="2" w:tplc="918E63A6">
      <w:start w:val="1"/>
      <w:numFmt w:val="lowerRoman"/>
      <w:lvlText w:val="%3."/>
      <w:lvlJc w:val="right"/>
      <w:pPr>
        <w:ind w:left="2869" w:hanging="180"/>
      </w:pPr>
    </w:lvl>
    <w:lvl w:ilvl="3" w:tplc="6D4EAD5C">
      <w:start w:val="1"/>
      <w:numFmt w:val="decimal"/>
      <w:lvlText w:val="%4."/>
      <w:lvlJc w:val="left"/>
      <w:pPr>
        <w:ind w:left="3589" w:hanging="360"/>
      </w:pPr>
    </w:lvl>
    <w:lvl w:ilvl="4" w:tplc="4A9E00A2">
      <w:start w:val="1"/>
      <w:numFmt w:val="lowerLetter"/>
      <w:lvlText w:val="%5."/>
      <w:lvlJc w:val="left"/>
      <w:pPr>
        <w:ind w:left="4309" w:hanging="360"/>
      </w:pPr>
    </w:lvl>
    <w:lvl w:ilvl="5" w:tplc="8464873C">
      <w:start w:val="1"/>
      <w:numFmt w:val="lowerRoman"/>
      <w:lvlText w:val="%6."/>
      <w:lvlJc w:val="right"/>
      <w:pPr>
        <w:ind w:left="5029" w:hanging="180"/>
      </w:pPr>
    </w:lvl>
    <w:lvl w:ilvl="6" w:tplc="A1ACDA8E">
      <w:start w:val="1"/>
      <w:numFmt w:val="decimal"/>
      <w:lvlText w:val="%7."/>
      <w:lvlJc w:val="left"/>
      <w:pPr>
        <w:ind w:left="5749" w:hanging="360"/>
      </w:pPr>
    </w:lvl>
    <w:lvl w:ilvl="7" w:tplc="1CD44BD8">
      <w:start w:val="1"/>
      <w:numFmt w:val="lowerLetter"/>
      <w:lvlText w:val="%8."/>
      <w:lvlJc w:val="left"/>
      <w:pPr>
        <w:ind w:left="6469" w:hanging="360"/>
      </w:pPr>
    </w:lvl>
    <w:lvl w:ilvl="8" w:tplc="2A707AB0">
      <w:start w:val="1"/>
      <w:numFmt w:val="lowerRoman"/>
      <w:lvlText w:val="%9."/>
      <w:lvlJc w:val="right"/>
      <w:pPr>
        <w:ind w:left="7189" w:hanging="180"/>
      </w:pPr>
    </w:lvl>
  </w:abstractNum>
  <w:abstractNum w:abstractNumId="35" w15:restartNumberingAfterBreak="0">
    <w:nsid w:val="71E6668F"/>
    <w:multiLevelType w:val="hybridMultilevel"/>
    <w:tmpl w:val="7106894E"/>
    <w:lvl w:ilvl="0" w:tplc="02D02090">
      <w:start w:val="1"/>
      <w:numFmt w:val="decimal"/>
      <w:lvlText w:val="%1."/>
      <w:lvlJc w:val="left"/>
      <w:pPr>
        <w:ind w:left="1554" w:hanging="420"/>
      </w:pPr>
    </w:lvl>
    <w:lvl w:ilvl="1" w:tplc="A1B8BC70">
      <w:start w:val="1"/>
      <w:numFmt w:val="lowerLetter"/>
      <w:lvlText w:val="%2."/>
      <w:lvlJc w:val="left"/>
      <w:pPr>
        <w:ind w:left="2214" w:hanging="360"/>
      </w:pPr>
    </w:lvl>
    <w:lvl w:ilvl="2" w:tplc="A4A6EC34">
      <w:start w:val="1"/>
      <w:numFmt w:val="lowerRoman"/>
      <w:lvlText w:val="%3."/>
      <w:lvlJc w:val="right"/>
      <w:pPr>
        <w:ind w:left="2934" w:hanging="180"/>
      </w:pPr>
    </w:lvl>
    <w:lvl w:ilvl="3" w:tplc="3878B040">
      <w:start w:val="1"/>
      <w:numFmt w:val="decimal"/>
      <w:lvlText w:val="%4."/>
      <w:lvlJc w:val="left"/>
      <w:pPr>
        <w:ind w:left="3654" w:hanging="360"/>
      </w:pPr>
    </w:lvl>
    <w:lvl w:ilvl="4" w:tplc="0B3A1236">
      <w:start w:val="1"/>
      <w:numFmt w:val="lowerLetter"/>
      <w:lvlText w:val="%5."/>
      <w:lvlJc w:val="left"/>
      <w:pPr>
        <w:ind w:left="4374" w:hanging="360"/>
      </w:pPr>
    </w:lvl>
    <w:lvl w:ilvl="5" w:tplc="266A1902">
      <w:start w:val="1"/>
      <w:numFmt w:val="lowerRoman"/>
      <w:lvlText w:val="%6."/>
      <w:lvlJc w:val="right"/>
      <w:pPr>
        <w:ind w:left="5094" w:hanging="180"/>
      </w:pPr>
    </w:lvl>
    <w:lvl w:ilvl="6" w:tplc="B6C2DB46">
      <w:start w:val="1"/>
      <w:numFmt w:val="decimal"/>
      <w:lvlText w:val="%7."/>
      <w:lvlJc w:val="left"/>
      <w:pPr>
        <w:ind w:left="5814" w:hanging="360"/>
      </w:pPr>
    </w:lvl>
    <w:lvl w:ilvl="7" w:tplc="ADB8DC36">
      <w:start w:val="1"/>
      <w:numFmt w:val="lowerLetter"/>
      <w:lvlText w:val="%8."/>
      <w:lvlJc w:val="left"/>
      <w:pPr>
        <w:ind w:left="6534" w:hanging="360"/>
      </w:pPr>
    </w:lvl>
    <w:lvl w:ilvl="8" w:tplc="881293EE">
      <w:start w:val="1"/>
      <w:numFmt w:val="lowerRoman"/>
      <w:lvlText w:val="%9."/>
      <w:lvlJc w:val="right"/>
      <w:pPr>
        <w:ind w:left="7254" w:hanging="180"/>
      </w:pPr>
    </w:lvl>
  </w:abstractNum>
  <w:abstractNum w:abstractNumId="36" w15:restartNumberingAfterBreak="0">
    <w:nsid w:val="72DC2264"/>
    <w:multiLevelType w:val="hybridMultilevel"/>
    <w:tmpl w:val="01C41738"/>
    <w:lvl w:ilvl="0" w:tplc="0D000C42">
      <w:start w:val="5"/>
      <w:numFmt w:val="decimal"/>
      <w:lvlText w:val="%1."/>
      <w:lvlJc w:val="left"/>
      <w:pPr>
        <w:ind w:left="1429" w:hanging="360"/>
      </w:pPr>
      <w:rPr>
        <w:rFonts w:hint="default"/>
      </w:rPr>
    </w:lvl>
    <w:lvl w:ilvl="1" w:tplc="B94651F4">
      <w:start w:val="1"/>
      <w:numFmt w:val="lowerLetter"/>
      <w:lvlText w:val="%2."/>
      <w:lvlJc w:val="left"/>
      <w:pPr>
        <w:ind w:left="1440" w:hanging="360"/>
      </w:pPr>
    </w:lvl>
    <w:lvl w:ilvl="2" w:tplc="5B7C2CA4">
      <w:start w:val="1"/>
      <w:numFmt w:val="lowerRoman"/>
      <w:lvlText w:val="%3."/>
      <w:lvlJc w:val="right"/>
      <w:pPr>
        <w:ind w:left="2160" w:hanging="180"/>
      </w:pPr>
    </w:lvl>
    <w:lvl w:ilvl="3" w:tplc="11EE3C96">
      <w:start w:val="1"/>
      <w:numFmt w:val="decimal"/>
      <w:lvlText w:val="%4."/>
      <w:lvlJc w:val="left"/>
      <w:pPr>
        <w:ind w:left="2880" w:hanging="360"/>
      </w:pPr>
    </w:lvl>
    <w:lvl w:ilvl="4" w:tplc="C6AC5854">
      <w:start w:val="1"/>
      <w:numFmt w:val="lowerLetter"/>
      <w:lvlText w:val="%5."/>
      <w:lvlJc w:val="left"/>
      <w:pPr>
        <w:ind w:left="3600" w:hanging="360"/>
      </w:pPr>
    </w:lvl>
    <w:lvl w:ilvl="5" w:tplc="1B6C62AA">
      <w:start w:val="1"/>
      <w:numFmt w:val="lowerRoman"/>
      <w:lvlText w:val="%6."/>
      <w:lvlJc w:val="right"/>
      <w:pPr>
        <w:ind w:left="4320" w:hanging="180"/>
      </w:pPr>
    </w:lvl>
    <w:lvl w:ilvl="6" w:tplc="7C9E417E">
      <w:start w:val="1"/>
      <w:numFmt w:val="decimal"/>
      <w:lvlText w:val="%7."/>
      <w:lvlJc w:val="left"/>
      <w:pPr>
        <w:ind w:left="5040" w:hanging="360"/>
      </w:pPr>
    </w:lvl>
    <w:lvl w:ilvl="7" w:tplc="CFDCBBEC">
      <w:start w:val="1"/>
      <w:numFmt w:val="lowerLetter"/>
      <w:lvlText w:val="%8."/>
      <w:lvlJc w:val="left"/>
      <w:pPr>
        <w:ind w:left="5760" w:hanging="360"/>
      </w:pPr>
    </w:lvl>
    <w:lvl w:ilvl="8" w:tplc="D79E4B38">
      <w:start w:val="1"/>
      <w:numFmt w:val="lowerRoman"/>
      <w:lvlText w:val="%9."/>
      <w:lvlJc w:val="right"/>
      <w:pPr>
        <w:ind w:left="6480" w:hanging="180"/>
      </w:pPr>
    </w:lvl>
  </w:abstractNum>
  <w:num w:numId="1">
    <w:abstractNumId w:val="4"/>
  </w:num>
  <w:num w:numId="2">
    <w:abstractNumId w:val="1"/>
  </w:num>
  <w:num w:numId="3">
    <w:abstractNumId w:val="24"/>
  </w:num>
  <w:num w:numId="4">
    <w:abstractNumId w:val="22"/>
  </w:num>
  <w:num w:numId="5">
    <w:abstractNumId w:val="26"/>
  </w:num>
  <w:num w:numId="6">
    <w:abstractNumId w:val="35"/>
  </w:num>
  <w:num w:numId="7">
    <w:abstractNumId w:val="32"/>
  </w:num>
  <w:num w:numId="8">
    <w:abstractNumId w:val="36"/>
  </w:num>
  <w:num w:numId="9">
    <w:abstractNumId w:val="15"/>
  </w:num>
  <w:num w:numId="10">
    <w:abstractNumId w:val="10"/>
  </w:num>
  <w:num w:numId="11">
    <w:abstractNumId w:val="29"/>
  </w:num>
  <w:num w:numId="12">
    <w:abstractNumId w:val="16"/>
  </w:num>
  <w:num w:numId="13">
    <w:abstractNumId w:val="8"/>
  </w:num>
  <w:num w:numId="14">
    <w:abstractNumId w:val="25"/>
  </w:num>
  <w:num w:numId="15">
    <w:abstractNumId w:val="6"/>
  </w:num>
  <w:num w:numId="16">
    <w:abstractNumId w:val="33"/>
  </w:num>
  <w:num w:numId="17">
    <w:abstractNumId w:val="0"/>
  </w:num>
  <w:num w:numId="18">
    <w:abstractNumId w:val="19"/>
  </w:num>
  <w:num w:numId="19">
    <w:abstractNumId w:val="30"/>
  </w:num>
  <w:num w:numId="20">
    <w:abstractNumId w:val="11"/>
  </w:num>
  <w:num w:numId="21">
    <w:abstractNumId w:val="23"/>
  </w:num>
  <w:num w:numId="22">
    <w:abstractNumId w:val="14"/>
  </w:num>
  <w:num w:numId="23">
    <w:abstractNumId w:val="34"/>
  </w:num>
  <w:num w:numId="24">
    <w:abstractNumId w:val="17"/>
  </w:num>
  <w:num w:numId="25">
    <w:abstractNumId w:val="9"/>
  </w:num>
  <w:num w:numId="26">
    <w:abstractNumId w:val="5"/>
  </w:num>
  <w:num w:numId="27">
    <w:abstractNumId w:val="28"/>
  </w:num>
  <w:num w:numId="28">
    <w:abstractNumId w:val="18"/>
  </w:num>
  <w:num w:numId="29">
    <w:abstractNumId w:val="31"/>
  </w:num>
  <w:num w:numId="30">
    <w:abstractNumId w:val="21"/>
  </w:num>
  <w:num w:numId="31">
    <w:abstractNumId w:val="27"/>
  </w:num>
  <w:num w:numId="32">
    <w:abstractNumId w:val="3"/>
  </w:num>
  <w:num w:numId="33">
    <w:abstractNumId w:val="12"/>
  </w:num>
  <w:num w:numId="34">
    <w:abstractNumId w:val="7"/>
  </w:num>
  <w:num w:numId="35">
    <w:abstractNumId w:val="13"/>
  </w:num>
  <w:num w:numId="36">
    <w:abstractNumId w:val="2"/>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48922E-D378-4A92-B994-5BAD91643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Times New Roman" w:hAnsi="Calibri" w:cs="Times New Roman"/>
      <w:lang w:eastAsia="ru-RU"/>
    </w:rPr>
  </w:style>
  <w:style w:type="paragraph" w:styleId="1">
    <w:name w:val="heading 1"/>
    <w:basedOn w:val="a"/>
    <w:next w:val="a"/>
    <w:link w:val="10"/>
    <w:qFormat/>
    <w:pPr>
      <w:keepNext/>
      <w:spacing w:after="0" w:line="240" w:lineRule="auto"/>
      <w:jc w:val="center"/>
      <w:outlineLvl w:val="0"/>
    </w:pPr>
    <w:rPr>
      <w:rFonts w:ascii="Times New Roman" w:hAnsi="Times New Roman"/>
      <w:sz w:val="28"/>
      <w:szCs w:val="20"/>
    </w:rPr>
  </w:style>
  <w:style w:type="paragraph" w:styleId="2">
    <w:name w:val="heading 2"/>
    <w:basedOn w:val="a"/>
    <w:next w:val="a"/>
    <w:link w:val="20"/>
    <w:uiPriority w:val="9"/>
    <w:unhideWhenUsed/>
    <w:qFormat/>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
    <w:unhideWhenUsed/>
    <w:qFormat/>
    <w:pPr>
      <w:keepNext/>
      <w:keepLines/>
      <w:spacing w:before="200" w:after="0"/>
      <w:outlineLvl w:val="2"/>
    </w:pPr>
    <w:rPr>
      <w:rFonts w:ascii="Cambria" w:hAnsi="Cambria"/>
      <w:b/>
      <w:bCs/>
      <w:color w:val="4F81BD"/>
    </w:rPr>
  </w:style>
  <w:style w:type="paragraph" w:styleId="4">
    <w:name w:val="heading 4"/>
    <w:basedOn w:val="a"/>
    <w:next w:val="a"/>
    <w:link w:val="40"/>
    <w:uiPriority w:val="9"/>
    <w:unhideWhenUsed/>
    <w:qFormat/>
    <w:pPr>
      <w:keepNext/>
      <w:keepLines/>
      <w:spacing w:before="200" w:after="0"/>
      <w:outlineLvl w:val="3"/>
    </w:pPr>
    <w:rPr>
      <w:rFonts w:ascii="Cambria" w:hAnsi="Cambria"/>
      <w:b/>
      <w:bCs/>
      <w:i/>
      <w:iCs/>
      <w:color w:val="4F81BD"/>
    </w:rPr>
  </w:style>
  <w:style w:type="paragraph" w:styleId="5">
    <w:name w:val="heading 5"/>
    <w:basedOn w:val="a"/>
    <w:next w:val="a"/>
    <w:link w:val="50"/>
    <w:uiPriority w:val="9"/>
    <w:unhideWhenUsed/>
    <w:qFormat/>
    <w:pPr>
      <w:keepNext/>
      <w:keepLines/>
      <w:spacing w:before="200" w:after="0"/>
      <w:outlineLvl w:val="4"/>
    </w:pPr>
    <w:rPr>
      <w:rFonts w:ascii="Cambria" w:hAnsi="Cambria"/>
      <w:color w:val="243F60"/>
    </w:rPr>
  </w:style>
  <w:style w:type="paragraph" w:styleId="6">
    <w:name w:val="heading 6"/>
    <w:basedOn w:val="a"/>
    <w:next w:val="a"/>
    <w:link w:val="60"/>
    <w:uiPriority w:val="9"/>
    <w:unhideWhenUsed/>
    <w:qFormat/>
    <w:pPr>
      <w:keepNext/>
      <w:keepLines/>
      <w:spacing w:before="200" w:after="0"/>
      <w:outlineLvl w:val="5"/>
    </w:pPr>
    <w:rPr>
      <w:rFonts w:ascii="Cambria" w:hAnsi="Cambria"/>
      <w:i/>
      <w:iCs/>
      <w:color w:val="243F60"/>
    </w:rPr>
  </w:style>
  <w:style w:type="paragraph" w:styleId="7">
    <w:name w:val="heading 7"/>
    <w:basedOn w:val="a"/>
    <w:next w:val="a"/>
    <w:link w:val="70"/>
    <w:uiPriority w:val="9"/>
    <w:unhideWhenUsed/>
    <w:qFormat/>
    <w:pPr>
      <w:keepNext/>
      <w:keepLines/>
      <w:spacing w:before="200" w:after="0"/>
      <w:outlineLvl w:val="6"/>
    </w:pPr>
    <w:rPr>
      <w:rFonts w:ascii="Cambria" w:hAnsi="Cambria"/>
      <w:i/>
      <w:iCs/>
      <w:color w:val="404040"/>
    </w:rPr>
  </w:style>
  <w:style w:type="paragraph" w:styleId="8">
    <w:name w:val="heading 8"/>
    <w:basedOn w:val="a"/>
    <w:next w:val="a"/>
    <w:link w:val="80"/>
    <w:uiPriority w:val="9"/>
    <w:unhideWhenUsed/>
    <w:qFormat/>
    <w:pPr>
      <w:keepNext/>
      <w:keepLines/>
      <w:spacing w:before="200" w:after="0"/>
      <w:outlineLvl w:val="7"/>
    </w:pPr>
    <w:rPr>
      <w:rFonts w:ascii="Cambria" w:hAnsi="Cambria"/>
      <w:color w:val="404040"/>
      <w:sz w:val="20"/>
      <w:szCs w:val="20"/>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footnote text"/>
    <w:basedOn w:val="a"/>
    <w:link w:val="a9"/>
    <w:uiPriority w:val="99"/>
    <w:semiHidden/>
    <w:unhideWhenUsed/>
    <w:pPr>
      <w:spacing w:after="40" w:line="240" w:lineRule="auto"/>
    </w:pPr>
    <w:rPr>
      <w:sz w:val="18"/>
    </w:rPr>
  </w:style>
  <w:style w:type="character" w:customStyle="1" w:styleId="a9">
    <w:name w:val="Текст сноски Знак"/>
    <w:link w:val="a8"/>
    <w:uiPriority w:val="99"/>
    <w:rPr>
      <w:sz w:val="18"/>
    </w:rPr>
  </w:style>
  <w:style w:type="character" w:styleId="aa">
    <w:name w:val="footnote reference"/>
    <w:basedOn w:val="a0"/>
    <w:uiPriority w:val="99"/>
    <w:unhideWhenUsed/>
    <w:rPr>
      <w:vertAlign w:val="superscript"/>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paragraph" w:styleId="af0">
    <w:name w:val="No Spacing"/>
    <w:uiPriority w:val="1"/>
    <w:qFormat/>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rPr>
      <w:rFonts w:ascii="Cambria" w:eastAsia="Times New Roman" w:hAnsi="Cambria" w:cs="Times New Roman"/>
      <w:b/>
      <w:bCs/>
      <w:color w:val="4F81BD"/>
      <w:lang w:eastAsia="ru-RU"/>
    </w:rPr>
  </w:style>
  <w:style w:type="character" w:customStyle="1" w:styleId="40">
    <w:name w:val="Заголовок 4 Знак"/>
    <w:basedOn w:val="a0"/>
    <w:link w:val="4"/>
    <w:uiPriority w:val="9"/>
    <w:rPr>
      <w:rFonts w:ascii="Cambria" w:eastAsia="Times New Roman" w:hAnsi="Cambria" w:cs="Times New Roman"/>
      <w:b/>
      <w:bCs/>
      <w:i/>
      <w:iCs/>
      <w:color w:val="4F81BD"/>
      <w:lang w:eastAsia="ru-RU"/>
    </w:rPr>
  </w:style>
  <w:style w:type="character" w:customStyle="1" w:styleId="50">
    <w:name w:val="Заголовок 5 Знак"/>
    <w:basedOn w:val="a0"/>
    <w:link w:val="5"/>
    <w:uiPriority w:val="9"/>
    <w:rPr>
      <w:rFonts w:ascii="Cambria" w:eastAsia="Times New Roman" w:hAnsi="Cambria" w:cs="Times New Roman"/>
      <w:color w:val="243F60"/>
      <w:lang w:eastAsia="ru-RU"/>
    </w:rPr>
  </w:style>
  <w:style w:type="character" w:customStyle="1" w:styleId="60">
    <w:name w:val="Заголовок 6 Знак"/>
    <w:basedOn w:val="a0"/>
    <w:link w:val="6"/>
    <w:uiPriority w:val="9"/>
    <w:rPr>
      <w:rFonts w:ascii="Cambria" w:eastAsia="Times New Roman" w:hAnsi="Cambria" w:cs="Times New Roman"/>
      <w:i/>
      <w:iCs/>
      <w:color w:val="243F60"/>
      <w:lang w:eastAsia="ru-RU"/>
    </w:rPr>
  </w:style>
  <w:style w:type="character" w:customStyle="1" w:styleId="70">
    <w:name w:val="Заголовок 7 Знак"/>
    <w:basedOn w:val="a0"/>
    <w:link w:val="7"/>
    <w:uiPriority w:val="9"/>
    <w:rPr>
      <w:rFonts w:ascii="Cambria" w:eastAsia="Times New Roman" w:hAnsi="Cambria" w:cs="Times New Roman"/>
      <w:i/>
      <w:iCs/>
      <w:color w:val="404040"/>
      <w:lang w:eastAsia="ru-RU"/>
    </w:rPr>
  </w:style>
  <w:style w:type="character" w:customStyle="1" w:styleId="80">
    <w:name w:val="Заголовок 8 Знак"/>
    <w:basedOn w:val="a0"/>
    <w:link w:val="8"/>
    <w:uiPriority w:val="9"/>
    <w:rPr>
      <w:rFonts w:ascii="Cambria" w:eastAsia="Times New Roman" w:hAnsi="Cambria" w:cs="Times New Roman"/>
      <w:color w:val="404040"/>
      <w:sz w:val="20"/>
      <w:szCs w:val="20"/>
      <w:lang w:eastAsia="ru-RU"/>
    </w:rPr>
  </w:style>
  <w:style w:type="paragraph" w:styleId="af1">
    <w:name w:val="List Paragraph"/>
    <w:basedOn w:val="a"/>
    <w:uiPriority w:val="34"/>
    <w:qFormat/>
    <w:pPr>
      <w:ind w:left="720"/>
      <w:contextualSpacing/>
    </w:pPr>
  </w:style>
  <w:style w:type="table" w:styleId="af2">
    <w:name w:val="Table Grid"/>
    <w:basedOn w:val="a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Subtitle"/>
    <w:basedOn w:val="a"/>
    <w:link w:val="af4"/>
    <w:qFormat/>
    <w:pPr>
      <w:spacing w:after="0" w:line="240" w:lineRule="auto"/>
      <w:jc w:val="center"/>
    </w:pPr>
    <w:rPr>
      <w:rFonts w:ascii="Times New Roman" w:hAnsi="Times New Roman"/>
      <w:b/>
      <w:sz w:val="36"/>
      <w:szCs w:val="20"/>
    </w:rPr>
  </w:style>
  <w:style w:type="character" w:customStyle="1" w:styleId="af4">
    <w:name w:val="Подзаголовок Знак"/>
    <w:basedOn w:val="a0"/>
    <w:link w:val="af3"/>
    <w:rPr>
      <w:rFonts w:ascii="Times New Roman" w:eastAsia="Times New Roman" w:hAnsi="Times New Roman" w:cs="Times New Roman"/>
      <w:b/>
      <w:sz w:val="36"/>
      <w:szCs w:val="20"/>
      <w:lang w:eastAsia="ru-RU"/>
    </w:rPr>
  </w:style>
  <w:style w:type="paragraph" w:styleId="25">
    <w:name w:val="Body Text 2"/>
    <w:basedOn w:val="a"/>
    <w:link w:val="26"/>
    <w:pPr>
      <w:spacing w:after="0" w:line="240" w:lineRule="auto"/>
      <w:ind w:right="-1"/>
      <w:jc w:val="both"/>
    </w:pPr>
    <w:rPr>
      <w:rFonts w:ascii="Times New Roman" w:hAnsi="Times New Roman"/>
      <w:sz w:val="28"/>
      <w:szCs w:val="20"/>
    </w:rPr>
  </w:style>
  <w:style w:type="character" w:customStyle="1" w:styleId="26">
    <w:name w:val="Основной текст 2 Знак"/>
    <w:basedOn w:val="a0"/>
    <w:link w:val="25"/>
    <w:rPr>
      <w:rFonts w:ascii="Times New Roman" w:eastAsia="Times New Roman" w:hAnsi="Times New Roman" w:cs="Times New Roman"/>
      <w:sz w:val="28"/>
      <w:szCs w:val="20"/>
      <w:lang w:eastAsia="ru-RU"/>
    </w:rPr>
  </w:style>
  <w:style w:type="paragraph" w:styleId="af5">
    <w:name w:val="Body Text"/>
    <w:basedOn w:val="a"/>
    <w:link w:val="af6"/>
    <w:uiPriority w:val="99"/>
    <w:semiHidden/>
    <w:unhideWhenUsed/>
    <w:pPr>
      <w:spacing w:after="120"/>
    </w:pPr>
  </w:style>
  <w:style w:type="character" w:customStyle="1" w:styleId="af6">
    <w:name w:val="Основной текст Знак"/>
    <w:basedOn w:val="a0"/>
    <w:link w:val="af5"/>
    <w:uiPriority w:val="99"/>
    <w:semiHidden/>
    <w:rPr>
      <w:rFonts w:ascii="Calibri" w:eastAsia="Times New Roman" w:hAnsi="Calibri" w:cs="Times New Roman"/>
      <w:lang w:eastAsia="ru-RU"/>
    </w:rPr>
  </w:style>
  <w:style w:type="paragraph" w:customStyle="1" w:styleId="ConsNormal">
    <w:name w:val="ConsNormal"/>
    <w:pPr>
      <w:widowControl w:val="0"/>
      <w:spacing w:after="0" w:line="240" w:lineRule="auto"/>
      <w:ind w:firstLine="720"/>
    </w:pPr>
    <w:rPr>
      <w:rFonts w:ascii="Arial" w:eastAsia="Times New Roman" w:hAnsi="Arial" w:cs="Times New Roman"/>
      <w:sz w:val="20"/>
      <w:szCs w:val="20"/>
      <w:lang w:eastAsia="ru-RU"/>
    </w:rPr>
  </w:style>
  <w:style w:type="paragraph" w:customStyle="1" w:styleId="ConsPlusNonformat">
    <w:name w:val="ConsPlusNonformat"/>
    <w:uiPriority w:val="99"/>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pPr>
      <w:spacing w:after="0" w:line="240" w:lineRule="auto"/>
    </w:pPr>
    <w:rPr>
      <w:rFonts w:ascii="Arial" w:eastAsia="Times New Roman" w:hAnsi="Arial" w:cs="Arial"/>
      <w:sz w:val="20"/>
      <w:szCs w:val="20"/>
      <w:lang w:eastAsia="ru-RU"/>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rPr>
      <w:rFonts w:ascii="Calibri" w:eastAsia="Times New Roman" w:hAnsi="Calibri" w:cs="Times New Roman"/>
      <w:lang w:eastAsia="ru-RU"/>
    </w:rPr>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rPr>
      <w:rFonts w:ascii="Calibri" w:eastAsia="Times New Roman" w:hAnsi="Calibri" w:cs="Times New Roman"/>
      <w:lang w:eastAsia="ru-RU"/>
    </w:rPr>
  </w:style>
  <w:style w:type="paragraph" w:styleId="afb">
    <w:name w:val="Balloon Text"/>
    <w:basedOn w:val="a"/>
    <w:link w:val="afc"/>
    <w:uiPriority w:val="99"/>
    <w:semiHidden/>
    <w:unhideWhenUsed/>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Pr>
      <w:rFonts w:ascii="Tahoma" w:eastAsia="Times New Roman" w:hAnsi="Tahoma" w:cs="Tahoma"/>
      <w:sz w:val="16"/>
      <w:szCs w:val="16"/>
      <w:lang w:eastAsia="ru-RU"/>
    </w:rPr>
  </w:style>
  <w:style w:type="paragraph" w:styleId="afd">
    <w:name w:val="Normal (Web)"/>
    <w:basedOn w:val="a"/>
    <w:uiPriority w:val="99"/>
    <w:unhideWhenUsed/>
    <w:pPr>
      <w:spacing w:before="100" w:beforeAutospacing="1" w:after="100" w:afterAutospacing="1" w:line="240" w:lineRule="auto"/>
    </w:pPr>
    <w:rPr>
      <w:rFonts w:ascii="Times New Roman" w:hAnsi="Times New Roman"/>
      <w:sz w:val="24"/>
      <w:szCs w:val="24"/>
    </w:rPr>
  </w:style>
  <w:style w:type="character" w:styleId="afe">
    <w:name w:val="Hyperlink"/>
    <w:uiPriority w:val="99"/>
    <w:unhideWhenUsed/>
    <w:rPr>
      <w:color w:val="0000FF"/>
      <w:u w:val="single"/>
    </w:rPr>
  </w:style>
  <w:style w:type="character" w:styleId="aff">
    <w:name w:val="annotation reference"/>
    <w:uiPriority w:val="99"/>
    <w:semiHidden/>
    <w:unhideWhenUsed/>
    <w:rPr>
      <w:sz w:val="16"/>
      <w:szCs w:val="16"/>
    </w:rPr>
  </w:style>
  <w:style w:type="paragraph" w:styleId="aff0">
    <w:name w:val="annotation text"/>
    <w:basedOn w:val="a"/>
    <w:link w:val="aff1"/>
    <w:uiPriority w:val="99"/>
    <w:semiHidden/>
    <w:unhideWhenUsed/>
    <w:rPr>
      <w:sz w:val="20"/>
      <w:szCs w:val="20"/>
    </w:rPr>
  </w:style>
  <w:style w:type="character" w:customStyle="1" w:styleId="aff1">
    <w:name w:val="Текст примечания Знак"/>
    <w:basedOn w:val="a0"/>
    <w:link w:val="aff0"/>
    <w:uiPriority w:val="99"/>
    <w:semiHidden/>
    <w:rPr>
      <w:rFonts w:ascii="Calibri" w:eastAsia="Times New Roman" w:hAnsi="Calibri" w:cs="Times New Roman"/>
      <w:sz w:val="20"/>
      <w:szCs w:val="20"/>
      <w:lang w:eastAsia="ru-RU"/>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basedOn w:val="aff1"/>
    <w:link w:val="aff2"/>
    <w:uiPriority w:val="99"/>
    <w:semiHidden/>
    <w:rPr>
      <w:rFonts w:ascii="Calibri" w:eastAsia="Times New Roman" w:hAnsi="Calibri"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721671">
      <w:bodyDiv w:val="1"/>
      <w:marLeft w:val="0"/>
      <w:marRight w:val="0"/>
      <w:marTop w:val="0"/>
      <w:marBottom w:val="0"/>
      <w:divBdr>
        <w:top w:val="none" w:sz="0" w:space="0" w:color="auto"/>
        <w:left w:val="none" w:sz="0" w:space="0" w:color="auto"/>
        <w:bottom w:val="none" w:sz="0" w:space="0" w:color="auto"/>
        <w:right w:val="none" w:sz="0" w:space="0" w:color="auto"/>
      </w:divBdr>
    </w:div>
    <w:div w:id="167707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20A85-2018-4E3D-9785-DCF7F48FB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3398</Words>
  <Characters>19370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 УГОЧСиПБ. ОФЭ. Начальник отдела</cp:lastModifiedBy>
  <cp:revision>3</cp:revision>
  <cp:lastPrinted>2026-07-07T09:41:00Z</cp:lastPrinted>
  <dcterms:created xsi:type="dcterms:W3CDTF">2026-09-01T08:54:00Z</dcterms:created>
  <dcterms:modified xsi:type="dcterms:W3CDTF">2026-09-02T05:03:00Z</dcterms:modified>
</cp:coreProperties>
</file>